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/>
          <w:spacing w:val="5"/>
          <w:szCs w:val="5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/>
          <w:spacing w:val="5"/>
          <w:szCs w:val="5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/>
          <w:spacing w:val="5"/>
          <w:szCs w:val="52"/>
        </w:rPr>
        <w:t>关</w:t>
      </w:r>
      <w:r>
        <w:rPr>
          <w:rFonts w:hint="eastAsia" w:ascii="Times New Roman" w:hAnsi="Times New Roman" w:eastAsia="方正公文小标宋" w:cs="方正公文小标宋"/>
          <w:b w:val="0"/>
          <w:bCs/>
        </w:rPr>
        <w:t>于《</w:t>
      </w:r>
      <w:r>
        <w:rPr>
          <w:rFonts w:hint="eastAsia" w:ascii="Times New Roman" w:hAnsi="Times New Roman" w:eastAsia="方正公文小标宋" w:cs="方正公文小标宋"/>
          <w:b w:val="0"/>
          <w:bCs/>
          <w:lang w:eastAsia="zh-CN"/>
        </w:rPr>
        <w:t>湖南</w:t>
      </w:r>
      <w:r>
        <w:rPr>
          <w:rFonts w:hint="eastAsia" w:ascii="Times New Roman" w:hAnsi="Times New Roman" w:eastAsia="方正公文小标宋" w:cs="方正公文小标宋"/>
          <w:b w:val="0"/>
          <w:bCs/>
          <w:lang w:val="en-US" w:eastAsia="zh-CN"/>
        </w:rPr>
        <w:t>交通运输行政处罚（检查、强制）执法文书（2025年版）》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/>
        </w:rPr>
      </w:pPr>
      <w:r>
        <w:rPr>
          <w:rFonts w:hint="eastAsia" w:ascii="Times New Roman" w:hAnsi="Times New Roman" w:eastAsia="方正公文小标宋" w:cs="方正公文小标宋"/>
          <w:b w:val="0"/>
          <w:bCs/>
          <w:lang w:val="en-US" w:eastAsia="zh-CN"/>
        </w:rPr>
        <w:t>的修订</w:t>
      </w:r>
      <w:r>
        <w:rPr>
          <w:rFonts w:hint="eastAsia" w:ascii="Times New Roman" w:hAnsi="Times New Roman" w:eastAsia="方正公文小标宋" w:cs="方正公文小标宋"/>
          <w:b w:val="0"/>
          <w:bCs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现将《</w:t>
      </w:r>
      <w:r>
        <w:rPr>
          <w:rFonts w:hint="eastAsia" w:ascii="Times New Roman" w:hAnsi="Times New Roman"/>
          <w:lang w:eastAsia="zh-CN"/>
        </w:rPr>
        <w:t>湖南</w:t>
      </w:r>
      <w:r>
        <w:rPr>
          <w:rFonts w:hint="eastAsia" w:ascii="Times New Roman" w:hAnsi="Times New Roman"/>
          <w:lang w:val="en-US" w:eastAsia="zh-CN"/>
        </w:rPr>
        <w:t>交通运输行政处罚（检查、强制）执法文书</w:t>
      </w:r>
      <w:r>
        <w:rPr>
          <w:rFonts w:ascii="Times New Roman" w:hAnsi="Times New Roman"/>
        </w:rPr>
        <w:t>》</w:t>
      </w:r>
      <w:r>
        <w:rPr>
          <w:rFonts w:hint="eastAsia" w:ascii="Times New Roman" w:hAnsi="Times New Roman"/>
          <w:lang w:val="en-US" w:eastAsia="zh-CN"/>
        </w:rPr>
        <w:t>（以下简称《执法文书》）修</w:t>
      </w:r>
      <w:r>
        <w:rPr>
          <w:rFonts w:hint="eastAsia" w:ascii="Times New Roman" w:hAnsi="Times New Roman"/>
          <w:lang w:val="en-US" w:eastAsia="zh"/>
        </w:rPr>
        <w:t>订</w:t>
      </w:r>
      <w:bookmarkStart w:id="0" w:name="_GoBack"/>
      <w:bookmarkEnd w:id="0"/>
      <w:r>
        <w:rPr>
          <w:rFonts w:ascii="Times New Roman" w:hAnsi="Times New Roman"/>
        </w:rPr>
        <w:t>有关情况说明如下：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</w:rPr>
        <w:t>修订背景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一是国家法律修改，</w:t>
      </w:r>
      <w:r>
        <w:rPr>
          <w:rFonts w:hint="eastAsia" w:ascii="Times New Roman" w:hAnsi="Times New Roman"/>
          <w:lang w:val="en-US" w:eastAsia="zh-CN"/>
        </w:rPr>
        <w:t>《</w:t>
      </w:r>
      <w:r>
        <w:rPr>
          <w:rFonts w:hint="eastAsia" w:ascii="Times New Roman" w:hAnsi="Times New Roman"/>
          <w:lang w:val="en-US" w:eastAsia="en-US"/>
        </w:rPr>
        <w:t>中华人民共和国行政复议法</w:t>
      </w:r>
      <w:r>
        <w:rPr>
          <w:rFonts w:hint="eastAsia" w:ascii="Times New Roman" w:hAnsi="Times New Roman"/>
          <w:lang w:val="en-US" w:eastAsia="zh-CN"/>
        </w:rPr>
        <w:t>》于2023年修改，已对应当行政复议前置的情形、非垂管机关向上一级主管部门申请行政复议的途径等规定进行修订；</w:t>
      </w: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二是国家政策要求，</w:t>
      </w:r>
      <w:r>
        <w:rPr>
          <w:rFonts w:hint="eastAsia" w:ascii="Times New Roman" w:hAnsi="Times New Roman"/>
          <w:lang w:val="en-US" w:eastAsia="en-US"/>
        </w:rPr>
        <w:t>国务院办公厅</w:t>
      </w:r>
      <w:r>
        <w:rPr>
          <w:rFonts w:hint="eastAsia" w:ascii="Times New Roman" w:hAnsi="Times New Roman"/>
          <w:lang w:val="en-US" w:eastAsia="zh-CN"/>
        </w:rPr>
        <w:t>《</w:t>
      </w:r>
      <w:r>
        <w:rPr>
          <w:rFonts w:hint="eastAsia" w:ascii="Times New Roman" w:hAnsi="Times New Roman"/>
          <w:lang w:val="en-US" w:eastAsia="en-US"/>
        </w:rPr>
        <w:t>关于严格规范涉企行政检查的意见》</w:t>
      </w:r>
      <w:r>
        <w:rPr>
          <w:rFonts w:hint="eastAsia" w:ascii="Times New Roman" w:hAnsi="Times New Roman"/>
          <w:lang w:val="en-US" w:eastAsia="zh-CN"/>
        </w:rPr>
        <w:t>（国办发〔2024〕54号）的部署</w:t>
      </w:r>
      <w:r>
        <w:rPr>
          <w:rFonts w:hint="eastAsia" w:ascii="Times New Roman" w:hAnsi="Times New Roman"/>
          <w:b w:val="0"/>
          <w:bCs w:val="0"/>
          <w:lang w:val="en-US" w:eastAsia="zh-CN"/>
        </w:rPr>
        <w:t>及《湖南省涉企行政检查标准文书（试行）》</w:t>
      </w:r>
      <w:r>
        <w:rPr>
          <w:rFonts w:hint="eastAsia" w:ascii="Times New Roman" w:hAnsi="Times New Roman"/>
          <w:lang w:val="en-US" w:eastAsia="zh-CN"/>
        </w:rPr>
        <w:t>规定、国务院办公厅《关于进一步完善信用修复制度的实施方案》明确“两书同达”（即行政处罚决定书、信用修复告知书同时送达）要求；</w:t>
      </w: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三是业务需求增加及系统对接需要，</w:t>
      </w:r>
      <w:r>
        <w:rPr>
          <w:rFonts w:hint="eastAsia" w:ascii="Times New Roman" w:hAnsi="Times New Roman"/>
          <w:lang w:val="en-US" w:eastAsia="zh-CN"/>
        </w:rPr>
        <w:t>《湖南省提升行政执法质量三年行动实施方案(2023-2025年)》(湘政办发〔2023〕51号)的部署要求、行政执法单位反馈的执法文书优化调整需求，《湖南省行政执法和行政执法监督一体化平台数据交换技术规范》等规定要求。</w:t>
      </w:r>
      <w:r>
        <w:rPr>
          <w:rFonts w:hint="eastAsia" w:ascii="楷体_GB2312" w:hAnsi="楷体_GB2312" w:eastAsia="楷体_GB2312" w:cs="楷体_GB2312"/>
          <w:b/>
          <w:bCs/>
          <w:lang w:val="en-US" w:eastAsia="zh-CN"/>
        </w:rPr>
        <w:t>四是规范文书编号的要求，</w:t>
      </w:r>
      <w:r>
        <w:rPr>
          <w:rFonts w:hint="eastAsia" w:ascii="Times New Roman" w:hAnsi="Times New Roman"/>
          <w:lang w:val="en-US" w:eastAsia="zh-CN"/>
        </w:rPr>
        <w:t>目前交通运输执法系统中各执法机构文书编号五花八门、缩写简称存在重复，影响文书严肃性、规范性，亟需统一全省各交通运输执法机关文书编号规则。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二、修订内容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outlineLvl w:val="1"/>
        <w:rPr>
          <w:rFonts w:hint="eastAsia" w:ascii="Times New Roman" w:hAnsi="Times New Roman" w:eastAsia="楷体_GB2312" w:cs="楷体_GB2312"/>
          <w:b/>
          <w:bCs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2021版《执法文书》共有2类67</w:t>
      </w:r>
      <w:r>
        <w:rPr>
          <w:rFonts w:hint="eastAsia" w:ascii="Times New Roman" w:hAnsi="Times New Roman" w:eastAsia="楷体_GB2312" w:cs="楷体_GB2312"/>
          <w:b/>
          <w:bCs/>
          <w:lang w:val="en-US" w:eastAsia="zh"/>
        </w:rPr>
        <w:t>种</w:t>
      </w: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。经过本次修订，2025年版《执法文书》共3类80种。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楷体_GB2312" w:cs="楷体_GB2312"/>
          <w:b/>
          <w:bCs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（一）增补文书13种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1、行政检查系列文书4</w:t>
      </w:r>
      <w:r>
        <w:rPr>
          <w:rFonts w:hint="eastAsia" w:ascii="Times New Roman" w:hAnsi="Times New Roman"/>
          <w:b w:val="0"/>
          <w:bCs w:val="0"/>
          <w:lang w:val="en" w:eastAsia="zh-CN"/>
        </w:rPr>
        <w:t>个</w:t>
      </w:r>
      <w:r>
        <w:rPr>
          <w:rFonts w:hint="eastAsia" w:ascii="Times New Roman" w:hAnsi="Times New Roman"/>
          <w:b w:val="0"/>
          <w:bCs w:val="0"/>
          <w:lang w:val="en-US" w:eastAsia="zh-CN"/>
        </w:rPr>
        <w:t>。根据省司法厅《湖南省涉企行政检查标准文书》要求，将《行政检查方案及审批表》《行政检查通知书》《行政检查现场记录》《行政检查结果告知书》予以补充，推行适用</w:t>
      </w:r>
      <w:r>
        <w:rPr>
          <w:rFonts w:hint="eastAsia" w:ascii="Times New Roman" w:hAnsi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b w:val="0"/>
          <w:bCs w:val="0"/>
          <w:lang w:val="en-US" w:eastAsia="zh-CN"/>
        </w:rPr>
        <w:t>2、信用修复告知书1个。</w:t>
      </w:r>
      <w:r>
        <w:rPr>
          <w:rFonts w:hint="eastAsia" w:ascii="Times New Roman" w:hAnsi="Times New Roman"/>
          <w:lang w:val="en-US" w:eastAsia="zh-CN"/>
        </w:rPr>
        <w:t>根据国务院办公厅《关于进一步完善信用修复制度的实施方案》《湖南省发展和改革委员会 湖南省市场监督管理局关于印发&lt;湖南省信用修复“一件事”工作方案&gt;的通知》（湘发改财信〔2024〕507号）等文件精神，告知被行政处罚单位按照规定流程申请在线修复。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/>
          <w:b/>
          <w:bCs/>
          <w:lang w:val="en-US"/>
        </w:rPr>
      </w:pPr>
      <w:r>
        <w:rPr>
          <w:rFonts w:hint="eastAsia" w:ascii="Times New Roman" w:hAnsi="Times New Roman"/>
          <w:lang w:val="en-US" w:eastAsia="zh-CN"/>
        </w:rPr>
        <w:t>3、补充责令改正复查记录、撤销行政处罚决定审批表及决定书（自查纠正）、协助调查函（公民个人版）、电子技术监控设备记录审核表（公路超限运输、水运客渡船超载）、行政处罚事前告知书送达公告、行政处罚决定书送达公告、强制执行催告书送达公告、授权委托书等文书8个，满足执法办案实际需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outlineLvl w:val="1"/>
        <w:rPr>
          <w:rFonts w:hint="default" w:ascii="Times New Roman" w:hAnsi="Times New Roman" w:eastAsia="楷体_GB2312" w:cs="楷体_GB2312"/>
          <w:b/>
          <w:bCs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（二）修订完善11种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/>
          <w:b w:val="0"/>
          <w:bCs w:val="0"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一是</w:t>
      </w:r>
      <w:r>
        <w:rPr>
          <w:rFonts w:hint="eastAsia" w:ascii="Times New Roman" w:hAnsi="Times New Roman"/>
          <w:b w:val="0"/>
          <w:bCs w:val="0"/>
          <w:lang w:val="en-US" w:eastAsia="zh-CN"/>
        </w:rPr>
        <w:t>修订行政处理决定文书的复议救济方式和渠道。将“对当场作出的行政处罚决定不服”的情形，纳入应当先向行政复议机关申请行政复议的行政诉讼前置程序，增加行政复议的互联网渠道表述，方便权利人行使救济权利。</w:t>
      </w:r>
      <w:r>
        <w:rPr>
          <w:rFonts w:hint="eastAsia" w:ascii="Times New Roman" w:hAnsi="Times New Roman"/>
          <w:b/>
          <w:bCs/>
          <w:lang w:val="en-US" w:eastAsia="zh-CN"/>
        </w:rPr>
        <w:t>二是</w:t>
      </w:r>
      <w:r>
        <w:rPr>
          <w:rFonts w:hint="eastAsia" w:ascii="Times New Roman" w:hAnsi="Times New Roman"/>
          <w:b w:val="0"/>
          <w:bCs w:val="0"/>
          <w:lang w:val="en-US" w:eastAsia="zh-CN"/>
        </w:rPr>
        <w:t xml:space="preserve">根据数据交换和业务需求，完善证据材料清单、询问笔录、现场检查（勘验）笔录、听证笔录、集体讨论记录、重大执法案件法制审核意见、行政处罚决定书、责令改正违法行为通知书、陈述申辩笔录、先行登记保持证据审批表等10个文书相关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2" w:firstLineChars="200"/>
        <w:textAlignment w:val="auto"/>
        <w:outlineLvl w:val="1"/>
        <w:rPr>
          <w:rFonts w:hint="eastAsia" w:ascii="Times New Roman" w:hAnsi="Times New Roman" w:eastAsia="楷体_GB2312" w:cs="楷体_GB2312"/>
          <w:b/>
          <w:bCs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lang w:val="en-US" w:eastAsia="zh-CN"/>
        </w:rPr>
        <w:t>（三）规范文书编号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 w:val="0"/>
          <w:bCs w:val="0"/>
          <w:lang w:eastAsia="zh-CN"/>
        </w:rPr>
        <w:t>为解决执法机构在执法系统中使用缩写重名及编号不规范问题、</w:t>
      </w:r>
      <w:r>
        <w:rPr>
          <w:rFonts w:hint="eastAsia" w:ascii="Times New Roman" w:hAnsi="Times New Roman"/>
          <w:b w:val="0"/>
          <w:bCs w:val="0"/>
        </w:rPr>
        <w:t>提升各类文书编号的规范性，</w:t>
      </w:r>
      <w:r>
        <w:rPr>
          <w:rFonts w:hint="eastAsia" w:ascii="Times New Roman" w:hAnsi="Times New Roman"/>
          <w:b w:val="0"/>
          <w:bCs w:val="0"/>
          <w:lang w:eastAsia="zh-CN"/>
        </w:rPr>
        <w:t>在原编号规则基础上规范文书编号，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文书编号组成为：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地区缩写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文书类别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年份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流水号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重复标识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地区缩写：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统一使用地区名称缩写，一般为2-3个字，见附表；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交：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代表交通运输行业；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（3）文书类别：即文书简称。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年份：案件受理时当前年份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（4）备注号：四位数字，由市州或县市区交通运输局自定义，可用于区分案件类型或执法大队等，如无编号则以“0000”填充；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流水号：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五位数字，按案件数量顺序递增（含普通程序与简易程序）；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（6）重复标识：同一文书因更正等原因需重复制作时，第二份加“-1”，第三份加“-2”，依此类推。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766945" cy="1778635"/>
            <wp:effectExtent l="9525" t="9525" r="24130" b="2159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6945" cy="1778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doub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double"/>
          <w:lang w:val="en-US" w:eastAsia="zh-CN"/>
        </w:rPr>
        <w:t>文书编号嵌入执法系统，不得随意修改。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厅法制和执法监督处</w:t>
      </w:r>
    </w:p>
    <w:p>
      <w:pPr>
        <w:pStyle w:val="2"/>
        <w:jc w:val="center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 2025年11月</w:t>
      </w:r>
    </w:p>
    <w:p>
      <w:pPr>
        <w:jc w:val="righ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附表：       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立案审批表文书号情况</w:t>
      </w:r>
    </w:p>
    <w:tbl>
      <w:tblPr>
        <w:tblStyle w:val="7"/>
        <w:tblW w:w="9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2749"/>
        <w:gridCol w:w="3211"/>
        <w:gridCol w:w="1360"/>
        <w:gridCol w:w="1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tblHeader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市州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执法主体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立案审批表文书号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原地区缩写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修正后名称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长交立审〔2025〕15230522号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浏交立审〔2025〕Z011号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宁交立审〔2025〕D0106号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株交立审〔2025〕354号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株洲市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湘攸交立审〔2025〕路229号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湘醴交立审〔2025〕2037号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醴陵市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湘茶交立审〔2025〕2096号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湘炎交立审〔2025〕080501号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炎陵县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潭交立审〔2025〕616号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潭县交立审〔2025〕030135号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湘乡交立审〔2025〕0900053号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湘乡市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韶山市城乡建设和交通运输局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韶建交立审〔2025〕5004号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韶山市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衡交立审〔2025〕0000458号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衡东交立审〔2025〕0152号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清交立审〔2025〕KG0035号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衡山交立审〔2025〕031013号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蒸交立审〔2025〕09-J003号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祁东交立审〔2025〕JY-ZC001号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常宁交立审〔2025〕4035号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南岳区城乡建设和交通运输局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岳交立审〔2025〕064号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邵市交立审〔2025〕CS165号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邵县交立审〔2024〕1153号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新邵县交通运输局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邵新交立审〔2025〕90066号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湘隆交立审〔2025〕0675号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隆回县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洞交立审〔2025〕0495号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城步苗族自治县交通运输局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城交立审〔2025〕126号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城步县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武冈市交通运输局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武交立审〔2025〕4073号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武冈市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绥宁县交通运输局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绥交立审〔当罚2025〕51036号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绥宁县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新宁县交通运输局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湘新宁交立审〔2025〕50071号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邵交立审〔2025〕XC0178号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邵东市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岳云溪交立审〔2025〕3045号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岳县交立审〔2025〕1104号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岳县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湘阴县交通运输局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湘阴交立审〔2025〕0912号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岳阳市屈原管理区交通运输局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屈交立审〔2024〕0078号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平江县交通运输局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平交立审〔2024〕06002号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汨交立审〔2025〕1-207号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汨罗市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湘临交立审〔2025〕030324号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临湘市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湘华交立审〔2025〕5056号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常交立审〔2025〕1032号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湘澧交立审〔2025〕0261号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澧县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湘津交立审〔2025〕0009号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湘津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津市市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石交立审〔2025〕3083号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桃交立审〔2024〕0027号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临澧县交通运输局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临交立审〔2025〕1020号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临澧县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湘常安交立审〔2025〕2055号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安乡县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湘汉交立审〔2025〕1105号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张定交立审〔2025〕015080号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永定区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慈交立审〔2025〕02079号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慈利县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桑植县交通运输局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桑交立审〔2025〕2007号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桑植县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张家界市武陵源区城乡建设和交通运输局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湘张武建交立审〔2025〕072号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武陵源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湘益交立审〔2025〕1132号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桃交立审〔2025〕0030号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湘南交立审〔2024〕210号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湘沅交立审〔2024〕1009号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安交立审〔2025〕04006号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益阳市大通湖区交通运输局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益大交立审〔2024〕067号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大通湖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郴交立审〔2025〕42183号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资兴市交通运输局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资交立审〔2025〕380号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资兴市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宜章县交通运输局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宜交立审〔2025〕0193号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宜章县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湘交立审〔2021〕A50号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桂阳县交通运输局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郴桂交立审〔2025〕9-250号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嘉禾县交通运输局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嘉交立审〔2025〕206号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嘉禾县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临武县交通运输局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郴临交立审〔2025〕4-054号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桂东县交通运输局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桂立审（超限）交〔2025〕040号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汝城县交通运输局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汝交立审〔2024〕F155号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汝城县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安仁县交通运输局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湘郴安交立审〔2025〕021号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安仁县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永州市零陵区交通运输局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永零交立审〔2025〕12003号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永州市冷水滩区交通运输局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永冷交立审〔2025〕2032号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永祁交立审〔2025〕03088号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永东交立审〔2025〕第9072号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双牌县交通运输局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永双交立审〔2024〕0034号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永道交立审〔2025〕D079号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宁交立审〔2024〕0415001号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宁远县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湘永蓝交立审〔2025〕1039号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永新交立审〔2024〕1060号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江华瑶族自治县交通运输局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永江华交立审〔综执当罚〕〔2024〕004号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永江路交立审〔2023〕3081号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江永县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辰溪县交通运输局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辰交立审〔2025〕111号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怀化市鹤城区交通运输局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怀鹤交立审〔2025〕简2057号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怀化市洪江区交通运输局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洪区交立审〔2025〕12号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洪区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洪市交立审〔2025〕2079号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洪市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洪江市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会同县交通运输局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会交立审〔2025〕119号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会同县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靖州苗族侗族自治县交通运输局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湘靖交立审〔2025〕0108号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湘靖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靖州县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麻阳苗族自治县交通运输局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湘麻交立审〔2025〕0178号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湘麻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通道侗族自治县交通运输局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湘通交立审〔2025〕0187号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通道县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新晃侗族自治县交通运输局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湘晃交立审〔2025〕Y0042号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湘晃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溆浦县交通运输局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溆交立审〔2025〕021号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溆浦县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沅交立审〔2025〕J63号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沅陵县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芷江侗族自治县交通运输局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湘芷交立审〔2024〕0130号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芷江县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湘中交立审〔2024〕2012号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湘中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娄交立审〔2025〕0180号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新交立审〔2025〕0197号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娄底市娄星区交通运输局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湘娄交立审〔2024〕FX7008号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湘娄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娄星区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冷水江市交通运输局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冷交立审〔2025〕2045号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双交立审〔2025〕7454号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涟交立审〔2025〕0849号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湘西土家族苗族自治州</w:t>
            </w: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湘西土家族苗族自治州交通运输局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州交立审〔2025〕03号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古丈县城乡建设和交通运输局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古城交立审〔2025〕05003号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古丈县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花垣县交通运输局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花交立审〔2025〕DF0806号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花垣县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凤交立审〔2025〕Y028号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湘龙交立审〔2025〕1010号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泸溪县交通运输局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泸交立审〔2025〕0068号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泸溪县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保靖县交通运输局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湘保交立审〔2025〕70003号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保靖县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吉交立审〔2025〕0190号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永顺县交通运输局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湘永交立审〔2025〕256号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湘永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永顺县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Times New Roman" w:hAnsi="Times New Roman"/>
          <w:b w:val="0"/>
          <w:bCs w:val="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2312">
    <w:altName w:val="汉仪仿宋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D19BF"/>
    <w:rsid w:val="0EB7AA0C"/>
    <w:rsid w:val="3FF78D98"/>
    <w:rsid w:val="56BB613E"/>
    <w:rsid w:val="574D19BF"/>
    <w:rsid w:val="5BAD61D3"/>
    <w:rsid w:val="5DFD1F2C"/>
    <w:rsid w:val="6B67298D"/>
    <w:rsid w:val="6F3364D2"/>
    <w:rsid w:val="738F09F4"/>
    <w:rsid w:val="75D6ABF2"/>
    <w:rsid w:val="7DFB53CD"/>
    <w:rsid w:val="9FD71BE2"/>
    <w:rsid w:val="B3AB13F3"/>
    <w:rsid w:val="BF3FF5CB"/>
    <w:rsid w:val="BF6B57CE"/>
    <w:rsid w:val="BFEB00B4"/>
    <w:rsid w:val="C2FF89CB"/>
    <w:rsid w:val="D7BF5DC7"/>
    <w:rsid w:val="DF7DEFC7"/>
    <w:rsid w:val="EDF51DEC"/>
    <w:rsid w:val="F8E7475D"/>
    <w:rsid w:val="FB3BC2FC"/>
    <w:rsid w:val="FD751DD6"/>
    <w:rsid w:val="FE7F744E"/>
    <w:rsid w:val="FF77F9E4"/>
    <w:rsid w:val="FF82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2"/>
    <w:basedOn w:val="1"/>
    <w:next w:val="1"/>
    <w:qFormat/>
    <w:uiPriority w:val="0"/>
    <w:pPr>
      <w:ind w:left="420" w:leftChars="200"/>
      <w:textAlignment w:val="baseline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2025-10-03T09:55:00Z</dcterms:created>
  <dc:creator>HOU X</dc:creator>
  <cp:lastModifiedBy>greatwall</cp:lastModifiedBy>
  <cp:lastPrinted>2025-11-07T00:49:00Z</cp:lastPrinted>
  <dcterms:modified xsi:type="dcterms:W3CDTF">2025-11-06T17:24:52Z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907CCBC529A64878A803061A24650D93_11</vt:lpwstr>
  </property>
  <property fmtid="{D5CDD505-2E9C-101B-9397-08002B2CF9AE}" pid="4" name="KSOTemplateDocerSaveRecord">
    <vt:lpwstr>eyJoZGlkIjoiZDVkNWM0MGJmMDk0NjBmYjRkZjBhMGQzNGY1N2ZkOGMiLCJ1c2VySWQiOiIzNjIwMjAzNDAifQ==</vt:lpwstr>
  </property>
</Properties>
</file>