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FA2591">
      <w:pPr>
        <w:spacing w:after="120" w:afterLines="50" w:line="600" w:lineRule="exact"/>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14:paraId="3E303FD8">
      <w:pPr>
        <w:spacing w:after="120" w:afterLines="50" w:line="600" w:lineRule="exact"/>
        <w:jc w:val="center"/>
        <w:rPr>
          <w:rFonts w:hint="eastAsia" w:ascii="方正小标宋简体" w:hAnsi="方正小标宋简体" w:eastAsia="方正小标宋简体" w:cs="方正小标宋简体"/>
          <w:sz w:val="24"/>
          <w:highlight w:val="none"/>
        </w:rPr>
      </w:pPr>
      <w:r>
        <w:rPr>
          <w:rFonts w:hint="eastAsia" w:ascii="方正小标宋简体" w:hAnsi="方正小标宋简体" w:eastAsia="方正小标宋简体" w:cs="方正小标宋简体"/>
          <w:sz w:val="36"/>
          <w:szCs w:val="36"/>
          <w:highlight w:val="none"/>
        </w:rPr>
        <w:t>202</w:t>
      </w:r>
      <w:r>
        <w:rPr>
          <w:rFonts w:hint="eastAsia" w:ascii="方正小标宋简体" w:hAnsi="方正小标宋简体" w:eastAsia="方正小标宋简体" w:cs="方正小标宋简体"/>
          <w:sz w:val="36"/>
          <w:szCs w:val="36"/>
          <w:highlight w:val="none"/>
          <w:lang w:val="en-US" w:eastAsia="zh-CN"/>
        </w:rPr>
        <w:t>4</w:t>
      </w:r>
      <w:r>
        <w:rPr>
          <w:rFonts w:hint="eastAsia" w:ascii="方正小标宋简体" w:hAnsi="方正小标宋简体" w:eastAsia="方正小标宋简体" w:cs="方正小标宋简体"/>
          <w:sz w:val="36"/>
          <w:szCs w:val="36"/>
          <w:highlight w:val="none"/>
        </w:rPr>
        <w:t>年度部门整体支出绩效评价基础数据表</w:t>
      </w:r>
    </w:p>
    <w:tbl>
      <w:tblPr>
        <w:tblStyle w:val="9"/>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14:paraId="64D946A5">
        <w:tblPrEx>
          <w:tblCellMar>
            <w:top w:w="0" w:type="dxa"/>
            <w:left w:w="108" w:type="dxa"/>
            <w:bottom w:w="0" w:type="dxa"/>
            <w:right w:w="108" w:type="dxa"/>
          </w:tblCellMar>
        </w:tblPrEx>
        <w:trPr>
          <w:trHeight w:val="0"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14:paraId="4AC7264D">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14:paraId="4FEBAAEE">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14:paraId="3BEE67F0">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年实际在职人数</w:t>
            </w:r>
          </w:p>
        </w:tc>
        <w:tc>
          <w:tcPr>
            <w:tcW w:w="2041" w:type="dxa"/>
            <w:gridSpan w:val="2"/>
            <w:tcBorders>
              <w:top w:val="single" w:color="auto" w:sz="4" w:space="0"/>
              <w:left w:val="nil"/>
              <w:bottom w:val="single" w:color="auto" w:sz="4" w:space="0"/>
              <w:right w:val="single" w:color="auto" w:sz="4" w:space="0"/>
            </w:tcBorders>
            <w:noWrap w:val="0"/>
            <w:vAlign w:val="center"/>
          </w:tcPr>
          <w:p w14:paraId="3E303ACA">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控制率</w:t>
            </w:r>
          </w:p>
        </w:tc>
      </w:tr>
      <w:tr w14:paraId="5D96CF36">
        <w:tblPrEx>
          <w:tblCellMar>
            <w:top w:w="0" w:type="dxa"/>
            <w:left w:w="108" w:type="dxa"/>
            <w:bottom w:w="0" w:type="dxa"/>
            <w:right w:w="108" w:type="dxa"/>
          </w:tblCellMar>
        </w:tblPrEx>
        <w:trPr>
          <w:trHeight w:val="0"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14:paraId="18D1D4E4">
            <w:pPr>
              <w:widowControl/>
              <w:spacing w:line="360" w:lineRule="exact"/>
              <w:jc w:val="left"/>
              <w:rPr>
                <w:rFonts w:hint="eastAsia" w:ascii="仿宋_GB2312" w:hAnsi="仿宋_GB2312" w:eastAsia="仿宋_GB2312" w:cs="仿宋_GB2312"/>
                <w:sz w:val="20"/>
                <w:szCs w:val="20"/>
                <w:highlight w:val="none"/>
              </w:rPr>
            </w:pPr>
          </w:p>
        </w:tc>
        <w:tc>
          <w:tcPr>
            <w:tcW w:w="2038" w:type="dxa"/>
            <w:gridSpan w:val="2"/>
            <w:tcBorders>
              <w:top w:val="single" w:color="auto" w:sz="4" w:space="0"/>
              <w:left w:val="nil"/>
              <w:bottom w:val="single" w:color="auto" w:sz="4" w:space="0"/>
              <w:right w:val="single" w:color="auto" w:sz="4" w:space="0"/>
            </w:tcBorders>
            <w:noWrap w:val="0"/>
            <w:vAlign w:val="center"/>
          </w:tcPr>
          <w:p w14:paraId="37C084E3">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7</w:t>
            </w:r>
          </w:p>
        </w:tc>
        <w:tc>
          <w:tcPr>
            <w:tcW w:w="2240" w:type="dxa"/>
            <w:gridSpan w:val="2"/>
            <w:tcBorders>
              <w:top w:val="single" w:color="auto" w:sz="4" w:space="0"/>
              <w:left w:val="nil"/>
              <w:bottom w:val="single" w:color="auto" w:sz="4" w:space="0"/>
              <w:right w:val="single" w:color="auto" w:sz="4" w:space="0"/>
            </w:tcBorders>
            <w:noWrap w:val="0"/>
            <w:vAlign w:val="center"/>
          </w:tcPr>
          <w:p w14:paraId="3BAAFA68">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7</w:t>
            </w:r>
          </w:p>
        </w:tc>
        <w:tc>
          <w:tcPr>
            <w:tcW w:w="2041" w:type="dxa"/>
            <w:gridSpan w:val="2"/>
            <w:tcBorders>
              <w:top w:val="single" w:color="auto" w:sz="4" w:space="0"/>
              <w:left w:val="nil"/>
              <w:bottom w:val="single" w:color="auto" w:sz="4" w:space="0"/>
              <w:right w:val="single" w:color="auto" w:sz="4" w:space="0"/>
            </w:tcBorders>
            <w:noWrap w:val="0"/>
            <w:vAlign w:val="center"/>
          </w:tcPr>
          <w:p w14:paraId="2CDA1FEE">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100.00%</w:t>
            </w:r>
            <w:r>
              <w:rPr>
                <w:rFonts w:hint="eastAsia" w:ascii="仿宋_GB2312" w:hAnsi="仿宋_GB2312" w:eastAsia="仿宋_GB2312" w:cs="仿宋_GB2312"/>
                <w:sz w:val="20"/>
                <w:szCs w:val="20"/>
                <w:highlight w:val="none"/>
              </w:rPr>
              <w:t>　</w:t>
            </w:r>
          </w:p>
        </w:tc>
      </w:tr>
      <w:tr w14:paraId="2A1FDF55">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2E83B45D">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14:paraId="0F593818">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lang w:eastAsia="zh-CN"/>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lang w:eastAsia="zh-CN"/>
              </w:rPr>
              <w:t>年</w:t>
            </w:r>
            <w:r>
              <w:rPr>
                <w:rFonts w:hint="eastAsia" w:ascii="仿宋_GB2312" w:hAnsi="仿宋_GB2312" w:eastAsia="仿宋_GB2312" w:cs="仿宋_GB2312"/>
                <w:b/>
                <w:bCs/>
                <w:sz w:val="20"/>
                <w:szCs w:val="20"/>
                <w:highlight w:val="none"/>
              </w:rPr>
              <w:t>决算数</w:t>
            </w:r>
          </w:p>
        </w:tc>
        <w:tc>
          <w:tcPr>
            <w:tcW w:w="2240" w:type="dxa"/>
            <w:gridSpan w:val="2"/>
            <w:tcBorders>
              <w:top w:val="single" w:color="auto" w:sz="4" w:space="0"/>
              <w:left w:val="nil"/>
              <w:bottom w:val="single" w:color="auto" w:sz="4" w:space="0"/>
              <w:right w:val="single" w:color="000000" w:sz="4" w:space="0"/>
            </w:tcBorders>
            <w:noWrap w:val="0"/>
            <w:vAlign w:val="center"/>
          </w:tcPr>
          <w:p w14:paraId="2E0E1873">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年预算数</w:t>
            </w:r>
          </w:p>
        </w:tc>
        <w:tc>
          <w:tcPr>
            <w:tcW w:w="2041" w:type="dxa"/>
            <w:gridSpan w:val="2"/>
            <w:tcBorders>
              <w:top w:val="single" w:color="auto" w:sz="4" w:space="0"/>
              <w:left w:val="nil"/>
              <w:bottom w:val="single" w:color="auto" w:sz="4" w:space="0"/>
              <w:right w:val="single" w:color="000000" w:sz="4" w:space="0"/>
            </w:tcBorders>
            <w:noWrap w:val="0"/>
            <w:vAlign w:val="center"/>
          </w:tcPr>
          <w:p w14:paraId="5377EE33">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年决算数</w:t>
            </w:r>
          </w:p>
        </w:tc>
      </w:tr>
      <w:tr w14:paraId="0DE74117">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3F95E9B">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三公经费</w:t>
            </w:r>
          </w:p>
        </w:tc>
        <w:tc>
          <w:tcPr>
            <w:tcW w:w="2038" w:type="dxa"/>
            <w:gridSpan w:val="2"/>
            <w:tcBorders>
              <w:top w:val="single" w:color="auto" w:sz="4" w:space="0"/>
              <w:left w:val="nil"/>
              <w:bottom w:val="single" w:color="auto" w:sz="4" w:space="0"/>
              <w:right w:val="single" w:color="000000" w:sz="4" w:space="0"/>
            </w:tcBorders>
            <w:shd w:val="clear" w:color="auto" w:fill="auto"/>
            <w:noWrap w:val="0"/>
            <w:vAlign w:val="center"/>
          </w:tcPr>
          <w:p w14:paraId="5EF2F566">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0.53</w:t>
            </w:r>
          </w:p>
        </w:tc>
        <w:tc>
          <w:tcPr>
            <w:tcW w:w="2240" w:type="dxa"/>
            <w:gridSpan w:val="2"/>
            <w:tcBorders>
              <w:top w:val="single" w:color="auto" w:sz="4" w:space="0"/>
              <w:left w:val="nil"/>
              <w:bottom w:val="single" w:color="auto" w:sz="4" w:space="0"/>
              <w:right w:val="single" w:color="000000" w:sz="4" w:space="0"/>
            </w:tcBorders>
            <w:noWrap w:val="0"/>
            <w:vAlign w:val="center"/>
          </w:tcPr>
          <w:p w14:paraId="68C0EEC1">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0.80</w:t>
            </w:r>
          </w:p>
        </w:tc>
        <w:tc>
          <w:tcPr>
            <w:tcW w:w="2041" w:type="dxa"/>
            <w:gridSpan w:val="2"/>
            <w:tcBorders>
              <w:top w:val="single" w:color="auto" w:sz="4" w:space="0"/>
              <w:left w:val="nil"/>
              <w:bottom w:val="single" w:color="auto" w:sz="4" w:space="0"/>
              <w:right w:val="single" w:color="000000" w:sz="4" w:space="0"/>
            </w:tcBorders>
            <w:noWrap w:val="0"/>
            <w:vAlign w:val="center"/>
          </w:tcPr>
          <w:p w14:paraId="063C47E8">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0.33</w:t>
            </w:r>
          </w:p>
        </w:tc>
      </w:tr>
      <w:tr w14:paraId="52761770">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F7477F4">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shd w:val="clear" w:color="auto" w:fill="auto"/>
            <w:noWrap w:val="0"/>
            <w:vAlign w:val="center"/>
          </w:tcPr>
          <w:p w14:paraId="52F5DAC6">
            <w:pPr>
              <w:widowControl/>
              <w:spacing w:line="360" w:lineRule="exact"/>
              <w:jc w:val="center"/>
              <w:rPr>
                <w:rFonts w:hint="default" w:ascii="仿宋_GB2312" w:hAnsi="仿宋_GB2312" w:eastAsia="仿宋_GB2312" w:cs="仿宋_GB2312"/>
                <w:kern w:val="0"/>
                <w:sz w:val="20"/>
                <w:szCs w:val="20"/>
                <w:highlight w:val="none"/>
                <w:lang w:val="en-US" w:eastAsia="zh-CN" w:bidi="ar-SA"/>
              </w:rPr>
            </w:pPr>
          </w:p>
        </w:tc>
        <w:tc>
          <w:tcPr>
            <w:tcW w:w="2240" w:type="dxa"/>
            <w:gridSpan w:val="2"/>
            <w:tcBorders>
              <w:top w:val="single" w:color="auto" w:sz="4" w:space="0"/>
              <w:left w:val="nil"/>
              <w:bottom w:val="single" w:color="auto" w:sz="4" w:space="0"/>
              <w:right w:val="single" w:color="000000" w:sz="4" w:space="0"/>
            </w:tcBorders>
            <w:noWrap w:val="0"/>
            <w:vAlign w:val="center"/>
          </w:tcPr>
          <w:p w14:paraId="21EC3910">
            <w:pPr>
              <w:widowControl/>
              <w:spacing w:line="360" w:lineRule="exact"/>
              <w:jc w:val="center"/>
              <w:rPr>
                <w:rFonts w:hint="default" w:ascii="仿宋_GB2312" w:hAnsi="仿宋_GB2312" w:eastAsia="仿宋_GB2312" w:cs="仿宋_GB2312"/>
                <w:sz w:val="20"/>
                <w:szCs w:val="20"/>
                <w:highlight w:val="none"/>
                <w:lang w:val="en-US" w:eastAsia="zh-CN"/>
              </w:rPr>
            </w:pPr>
          </w:p>
        </w:tc>
        <w:tc>
          <w:tcPr>
            <w:tcW w:w="2041" w:type="dxa"/>
            <w:gridSpan w:val="2"/>
            <w:tcBorders>
              <w:top w:val="single" w:color="auto" w:sz="4" w:space="0"/>
              <w:left w:val="nil"/>
              <w:bottom w:val="single" w:color="auto" w:sz="4" w:space="0"/>
              <w:right w:val="single" w:color="000000" w:sz="4" w:space="0"/>
            </w:tcBorders>
            <w:noWrap w:val="0"/>
            <w:vAlign w:val="center"/>
          </w:tcPr>
          <w:p w14:paraId="2568F72B">
            <w:pPr>
              <w:widowControl/>
              <w:spacing w:line="360" w:lineRule="exact"/>
              <w:jc w:val="center"/>
              <w:rPr>
                <w:rFonts w:hint="default" w:ascii="仿宋_GB2312" w:hAnsi="仿宋_GB2312" w:eastAsia="仿宋_GB2312" w:cs="仿宋_GB2312"/>
                <w:sz w:val="20"/>
                <w:szCs w:val="20"/>
                <w:highlight w:val="none"/>
                <w:lang w:val="en-US" w:eastAsia="zh-CN"/>
              </w:rPr>
            </w:pPr>
          </w:p>
        </w:tc>
      </w:tr>
      <w:tr w14:paraId="11E5BBE4">
        <w:tblPrEx>
          <w:tblCellMar>
            <w:top w:w="0" w:type="dxa"/>
            <w:left w:w="108" w:type="dxa"/>
            <w:bottom w:w="0" w:type="dxa"/>
            <w:right w:w="108" w:type="dxa"/>
          </w:tblCellMar>
        </w:tblPrEx>
        <w:trPr>
          <w:trHeight w:val="377"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0EF3623">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其中：公车购置</w:t>
            </w:r>
          </w:p>
        </w:tc>
        <w:tc>
          <w:tcPr>
            <w:tcW w:w="2038" w:type="dxa"/>
            <w:gridSpan w:val="2"/>
            <w:tcBorders>
              <w:top w:val="single" w:color="auto" w:sz="4" w:space="0"/>
              <w:left w:val="nil"/>
              <w:bottom w:val="single" w:color="auto" w:sz="4" w:space="0"/>
              <w:right w:val="single" w:color="000000" w:sz="4" w:space="0"/>
            </w:tcBorders>
            <w:shd w:val="clear" w:color="auto" w:fill="auto"/>
            <w:noWrap w:val="0"/>
            <w:vAlign w:val="center"/>
          </w:tcPr>
          <w:p w14:paraId="7CABDF13">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p>
        </w:tc>
        <w:tc>
          <w:tcPr>
            <w:tcW w:w="2240" w:type="dxa"/>
            <w:gridSpan w:val="2"/>
            <w:tcBorders>
              <w:top w:val="single" w:color="auto" w:sz="4" w:space="0"/>
              <w:left w:val="nil"/>
              <w:bottom w:val="single" w:color="auto" w:sz="4" w:space="0"/>
              <w:right w:val="single" w:color="000000" w:sz="4" w:space="0"/>
            </w:tcBorders>
            <w:noWrap w:val="0"/>
            <w:vAlign w:val="center"/>
          </w:tcPr>
          <w:p w14:paraId="4FF9538D">
            <w:pPr>
              <w:widowControl/>
              <w:spacing w:line="360" w:lineRule="exact"/>
              <w:jc w:val="center"/>
              <w:rPr>
                <w:rFonts w:hint="eastAsia" w:ascii="仿宋_GB2312" w:hAnsi="仿宋_GB2312" w:eastAsia="仿宋_GB2312" w:cs="仿宋_GB2312"/>
                <w:sz w:val="20"/>
                <w:szCs w:val="20"/>
                <w:highlight w:val="none"/>
              </w:rPr>
            </w:pPr>
          </w:p>
        </w:tc>
        <w:tc>
          <w:tcPr>
            <w:tcW w:w="2041" w:type="dxa"/>
            <w:gridSpan w:val="2"/>
            <w:tcBorders>
              <w:top w:val="single" w:color="auto" w:sz="4" w:space="0"/>
              <w:left w:val="nil"/>
              <w:bottom w:val="single" w:color="auto" w:sz="4" w:space="0"/>
              <w:right w:val="single" w:color="000000" w:sz="4" w:space="0"/>
            </w:tcBorders>
            <w:noWrap w:val="0"/>
            <w:vAlign w:val="center"/>
          </w:tcPr>
          <w:p w14:paraId="22599035">
            <w:pPr>
              <w:widowControl/>
              <w:spacing w:line="360" w:lineRule="exact"/>
              <w:jc w:val="center"/>
              <w:rPr>
                <w:rFonts w:hint="eastAsia" w:ascii="仿宋_GB2312" w:hAnsi="仿宋_GB2312" w:eastAsia="仿宋_GB2312" w:cs="仿宋_GB2312"/>
                <w:sz w:val="20"/>
                <w:szCs w:val="20"/>
                <w:highlight w:val="none"/>
              </w:rPr>
            </w:pPr>
          </w:p>
        </w:tc>
      </w:tr>
      <w:tr w14:paraId="4746C34A">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BABB310">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公车运行维护</w:t>
            </w:r>
          </w:p>
        </w:tc>
        <w:tc>
          <w:tcPr>
            <w:tcW w:w="2038" w:type="dxa"/>
            <w:gridSpan w:val="2"/>
            <w:tcBorders>
              <w:top w:val="single" w:color="auto" w:sz="4" w:space="0"/>
              <w:left w:val="nil"/>
              <w:bottom w:val="single" w:color="auto" w:sz="4" w:space="0"/>
              <w:right w:val="single" w:color="000000" w:sz="4" w:space="0"/>
            </w:tcBorders>
            <w:shd w:val="clear" w:color="auto" w:fill="auto"/>
            <w:noWrap w:val="0"/>
            <w:vAlign w:val="center"/>
          </w:tcPr>
          <w:p w14:paraId="18CCAA94">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p>
        </w:tc>
        <w:tc>
          <w:tcPr>
            <w:tcW w:w="2240" w:type="dxa"/>
            <w:gridSpan w:val="2"/>
            <w:tcBorders>
              <w:top w:val="single" w:color="auto" w:sz="4" w:space="0"/>
              <w:left w:val="nil"/>
              <w:bottom w:val="single" w:color="auto" w:sz="4" w:space="0"/>
              <w:right w:val="single" w:color="000000" w:sz="4" w:space="0"/>
            </w:tcBorders>
            <w:noWrap w:val="0"/>
            <w:vAlign w:val="center"/>
          </w:tcPr>
          <w:p w14:paraId="4644E001">
            <w:pPr>
              <w:widowControl/>
              <w:spacing w:line="360" w:lineRule="exact"/>
              <w:jc w:val="center"/>
              <w:rPr>
                <w:rFonts w:hint="default" w:ascii="仿宋_GB2312" w:hAnsi="仿宋_GB2312" w:eastAsia="仿宋_GB2312" w:cs="仿宋_GB2312"/>
                <w:kern w:val="0"/>
                <w:sz w:val="20"/>
                <w:szCs w:val="20"/>
                <w:highlight w:val="none"/>
                <w:lang w:val="en-US" w:eastAsia="zh-CN" w:bidi="ar-SA"/>
              </w:rPr>
            </w:pPr>
          </w:p>
        </w:tc>
        <w:tc>
          <w:tcPr>
            <w:tcW w:w="2041" w:type="dxa"/>
            <w:gridSpan w:val="2"/>
            <w:tcBorders>
              <w:top w:val="single" w:color="auto" w:sz="4" w:space="0"/>
              <w:left w:val="nil"/>
              <w:bottom w:val="single" w:color="auto" w:sz="4" w:space="0"/>
              <w:right w:val="single" w:color="000000" w:sz="4" w:space="0"/>
            </w:tcBorders>
            <w:noWrap w:val="0"/>
            <w:vAlign w:val="center"/>
          </w:tcPr>
          <w:p w14:paraId="6270A0F3">
            <w:pPr>
              <w:widowControl/>
              <w:spacing w:line="360" w:lineRule="exact"/>
              <w:jc w:val="center"/>
              <w:rPr>
                <w:rFonts w:hint="default" w:ascii="仿宋_GB2312" w:hAnsi="仿宋_GB2312" w:eastAsia="仿宋_GB2312" w:cs="仿宋_GB2312"/>
                <w:kern w:val="0"/>
                <w:sz w:val="20"/>
                <w:szCs w:val="20"/>
                <w:highlight w:val="none"/>
                <w:lang w:val="en-US" w:eastAsia="zh-CN" w:bidi="ar-SA"/>
              </w:rPr>
            </w:pPr>
          </w:p>
        </w:tc>
      </w:tr>
      <w:tr w14:paraId="4CF0CF0D">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124A222">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2、出国经费</w:t>
            </w:r>
          </w:p>
        </w:tc>
        <w:tc>
          <w:tcPr>
            <w:tcW w:w="2038" w:type="dxa"/>
            <w:gridSpan w:val="2"/>
            <w:tcBorders>
              <w:top w:val="single" w:color="auto" w:sz="4" w:space="0"/>
              <w:left w:val="nil"/>
              <w:bottom w:val="single" w:color="auto" w:sz="4" w:space="0"/>
              <w:right w:val="single" w:color="000000" w:sz="4" w:space="0"/>
            </w:tcBorders>
            <w:shd w:val="clear" w:color="auto" w:fill="auto"/>
            <w:noWrap w:val="0"/>
            <w:vAlign w:val="center"/>
          </w:tcPr>
          <w:p w14:paraId="2B62F3E6">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p>
        </w:tc>
        <w:tc>
          <w:tcPr>
            <w:tcW w:w="2240" w:type="dxa"/>
            <w:gridSpan w:val="2"/>
            <w:tcBorders>
              <w:top w:val="single" w:color="auto" w:sz="4" w:space="0"/>
              <w:left w:val="nil"/>
              <w:bottom w:val="single" w:color="auto" w:sz="4" w:space="0"/>
              <w:right w:val="single" w:color="000000" w:sz="4" w:space="0"/>
            </w:tcBorders>
            <w:noWrap w:val="0"/>
            <w:vAlign w:val="center"/>
          </w:tcPr>
          <w:p w14:paraId="11457C5D">
            <w:pPr>
              <w:widowControl/>
              <w:spacing w:line="360" w:lineRule="exact"/>
              <w:jc w:val="center"/>
              <w:rPr>
                <w:rFonts w:hint="eastAsia" w:ascii="仿宋_GB2312" w:hAnsi="仿宋_GB2312" w:eastAsia="仿宋_GB2312" w:cs="仿宋_GB2312"/>
                <w:sz w:val="20"/>
                <w:szCs w:val="20"/>
                <w:highlight w:val="none"/>
                <w:lang w:val="en-US" w:eastAsia="zh-CN"/>
              </w:rPr>
            </w:pPr>
          </w:p>
        </w:tc>
        <w:tc>
          <w:tcPr>
            <w:tcW w:w="2041" w:type="dxa"/>
            <w:gridSpan w:val="2"/>
            <w:tcBorders>
              <w:top w:val="single" w:color="auto" w:sz="4" w:space="0"/>
              <w:left w:val="nil"/>
              <w:bottom w:val="single" w:color="auto" w:sz="4" w:space="0"/>
              <w:right w:val="single" w:color="000000" w:sz="4" w:space="0"/>
            </w:tcBorders>
            <w:noWrap w:val="0"/>
            <w:vAlign w:val="center"/>
          </w:tcPr>
          <w:p w14:paraId="5651E8DE">
            <w:pPr>
              <w:widowControl/>
              <w:spacing w:line="360" w:lineRule="exact"/>
              <w:jc w:val="center"/>
              <w:rPr>
                <w:rFonts w:hint="eastAsia" w:ascii="仿宋_GB2312" w:hAnsi="仿宋_GB2312" w:eastAsia="仿宋_GB2312" w:cs="仿宋_GB2312"/>
                <w:sz w:val="20"/>
                <w:szCs w:val="20"/>
                <w:highlight w:val="none"/>
              </w:rPr>
            </w:pPr>
          </w:p>
        </w:tc>
      </w:tr>
      <w:tr w14:paraId="6A29038A">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242CF952">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3、公务接待</w:t>
            </w:r>
          </w:p>
        </w:tc>
        <w:tc>
          <w:tcPr>
            <w:tcW w:w="2038" w:type="dxa"/>
            <w:gridSpan w:val="2"/>
            <w:tcBorders>
              <w:top w:val="single" w:color="auto" w:sz="4" w:space="0"/>
              <w:left w:val="nil"/>
              <w:bottom w:val="single" w:color="auto" w:sz="4" w:space="0"/>
              <w:right w:val="single" w:color="000000" w:sz="4" w:space="0"/>
            </w:tcBorders>
            <w:shd w:val="clear" w:color="auto" w:fill="auto"/>
            <w:noWrap w:val="0"/>
            <w:vAlign w:val="center"/>
          </w:tcPr>
          <w:p w14:paraId="2F3C5C98">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0.53</w:t>
            </w:r>
          </w:p>
        </w:tc>
        <w:tc>
          <w:tcPr>
            <w:tcW w:w="2240" w:type="dxa"/>
            <w:gridSpan w:val="2"/>
            <w:tcBorders>
              <w:top w:val="single" w:color="auto" w:sz="4" w:space="0"/>
              <w:left w:val="nil"/>
              <w:bottom w:val="single" w:color="auto" w:sz="4" w:space="0"/>
              <w:right w:val="single" w:color="000000" w:sz="4" w:space="0"/>
            </w:tcBorders>
            <w:noWrap w:val="0"/>
            <w:vAlign w:val="center"/>
          </w:tcPr>
          <w:p w14:paraId="20A30238">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0.80</w:t>
            </w:r>
          </w:p>
        </w:tc>
        <w:tc>
          <w:tcPr>
            <w:tcW w:w="2041" w:type="dxa"/>
            <w:gridSpan w:val="2"/>
            <w:tcBorders>
              <w:top w:val="single" w:color="auto" w:sz="4" w:space="0"/>
              <w:left w:val="nil"/>
              <w:bottom w:val="single" w:color="auto" w:sz="4" w:space="0"/>
              <w:right w:val="single" w:color="000000" w:sz="4" w:space="0"/>
            </w:tcBorders>
            <w:noWrap w:val="0"/>
            <w:vAlign w:val="center"/>
          </w:tcPr>
          <w:p w14:paraId="532F045B">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0.33</w:t>
            </w:r>
          </w:p>
        </w:tc>
      </w:tr>
      <w:tr w14:paraId="4350E475">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28DC3F23">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项目支出：</w:t>
            </w:r>
          </w:p>
        </w:tc>
        <w:tc>
          <w:tcPr>
            <w:tcW w:w="2038" w:type="dxa"/>
            <w:gridSpan w:val="2"/>
            <w:tcBorders>
              <w:top w:val="single" w:color="auto" w:sz="4" w:space="0"/>
              <w:left w:val="nil"/>
              <w:bottom w:val="single" w:color="auto" w:sz="4" w:space="0"/>
              <w:right w:val="single" w:color="000000" w:sz="4" w:space="0"/>
            </w:tcBorders>
            <w:shd w:val="clear" w:color="auto" w:fill="auto"/>
            <w:noWrap w:val="0"/>
            <w:vAlign w:val="center"/>
          </w:tcPr>
          <w:p w14:paraId="21982E40">
            <w:pPr>
              <w:widowControl/>
              <w:spacing w:line="360" w:lineRule="exact"/>
              <w:jc w:val="center"/>
              <w:rPr>
                <w:rFonts w:hint="default"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rPr>
              <w:t>49</w:t>
            </w:r>
            <w:r>
              <w:rPr>
                <w:rFonts w:hint="eastAsia" w:ascii="仿宋_GB2312" w:hAnsi="仿宋_GB2312" w:eastAsia="仿宋_GB2312" w:cs="仿宋_GB2312"/>
                <w:sz w:val="20"/>
                <w:szCs w:val="20"/>
                <w:highlight w:val="none"/>
                <w:lang w:val="en-US" w:eastAsia="zh-CN"/>
              </w:rPr>
              <w:t>.</w:t>
            </w:r>
            <w:r>
              <w:rPr>
                <w:rFonts w:hint="eastAsia" w:ascii="仿宋_GB2312" w:hAnsi="仿宋_GB2312" w:eastAsia="仿宋_GB2312" w:cs="仿宋_GB2312"/>
                <w:sz w:val="20"/>
                <w:szCs w:val="20"/>
                <w:highlight w:val="none"/>
              </w:rPr>
              <w:t>77</w:t>
            </w:r>
          </w:p>
        </w:tc>
        <w:tc>
          <w:tcPr>
            <w:tcW w:w="2240" w:type="dxa"/>
            <w:gridSpan w:val="2"/>
            <w:tcBorders>
              <w:top w:val="single" w:color="auto" w:sz="4" w:space="0"/>
              <w:left w:val="nil"/>
              <w:bottom w:val="single" w:color="auto" w:sz="4" w:space="0"/>
              <w:right w:val="single" w:color="000000" w:sz="4" w:space="0"/>
            </w:tcBorders>
            <w:noWrap w:val="0"/>
            <w:vAlign w:val="center"/>
          </w:tcPr>
          <w:p w14:paraId="2CCBF086">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1.20</w:t>
            </w:r>
          </w:p>
        </w:tc>
        <w:tc>
          <w:tcPr>
            <w:tcW w:w="2041" w:type="dxa"/>
            <w:gridSpan w:val="2"/>
            <w:tcBorders>
              <w:top w:val="single" w:color="auto" w:sz="4" w:space="0"/>
              <w:left w:val="nil"/>
              <w:bottom w:val="single" w:color="auto" w:sz="4" w:space="0"/>
              <w:right w:val="single" w:color="000000" w:sz="4" w:space="0"/>
            </w:tcBorders>
            <w:noWrap w:val="0"/>
            <w:vAlign w:val="center"/>
          </w:tcPr>
          <w:p w14:paraId="60B5A317">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76.82</w:t>
            </w:r>
          </w:p>
        </w:tc>
      </w:tr>
      <w:tr w14:paraId="34A4E838">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A51B96C">
            <w:pPr>
              <w:widowControl/>
              <w:spacing w:line="360" w:lineRule="exact"/>
              <w:jc w:val="left"/>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xml:space="preserve">   1、</w:t>
            </w:r>
            <w:r>
              <w:rPr>
                <w:rFonts w:hint="eastAsia" w:ascii="仿宋_GB2312" w:hAnsi="仿宋_GB2312" w:eastAsia="仿宋_GB2312" w:cs="仿宋_GB2312"/>
                <w:sz w:val="20"/>
                <w:szCs w:val="20"/>
                <w:highlight w:val="none"/>
                <w:lang w:val="en-US" w:eastAsia="zh-CN"/>
              </w:rPr>
              <w:t>业务工作经费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6AD9E70C">
            <w:pPr>
              <w:widowControl/>
              <w:spacing w:line="360" w:lineRule="exact"/>
              <w:jc w:val="center"/>
              <w:rPr>
                <w:rFonts w:hint="eastAsia" w:ascii="仿宋_GB2312" w:hAnsi="仿宋_GB2312" w:eastAsia="仿宋_GB2312" w:cs="仿宋_GB2312"/>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14:paraId="240CE8F5">
            <w:pPr>
              <w:widowControl/>
              <w:spacing w:line="360" w:lineRule="exact"/>
              <w:jc w:val="center"/>
              <w:rPr>
                <w:rFonts w:hint="default" w:ascii="仿宋_GB2312" w:hAnsi="仿宋_GB2312" w:eastAsia="仿宋_GB2312" w:cs="仿宋_GB2312"/>
                <w:sz w:val="20"/>
                <w:szCs w:val="20"/>
                <w:highlight w:val="none"/>
                <w:lang w:val="en-US" w:eastAsia="zh-CN"/>
              </w:rPr>
            </w:pPr>
          </w:p>
        </w:tc>
        <w:tc>
          <w:tcPr>
            <w:tcW w:w="2041" w:type="dxa"/>
            <w:gridSpan w:val="2"/>
            <w:tcBorders>
              <w:top w:val="single" w:color="auto" w:sz="4" w:space="0"/>
              <w:left w:val="nil"/>
              <w:bottom w:val="single" w:color="auto" w:sz="4" w:space="0"/>
              <w:right w:val="single" w:color="000000" w:sz="4" w:space="0"/>
            </w:tcBorders>
            <w:noWrap w:val="0"/>
            <w:vAlign w:val="center"/>
          </w:tcPr>
          <w:p w14:paraId="32FCDAC5">
            <w:pPr>
              <w:widowControl/>
              <w:spacing w:line="360" w:lineRule="exact"/>
              <w:jc w:val="center"/>
              <w:rPr>
                <w:rFonts w:hint="default" w:ascii="仿宋_GB2312" w:hAnsi="仿宋_GB2312" w:eastAsia="仿宋_GB2312" w:cs="仿宋_GB2312"/>
                <w:sz w:val="20"/>
                <w:szCs w:val="20"/>
                <w:highlight w:val="none"/>
                <w:lang w:val="en-US" w:eastAsia="zh-CN"/>
              </w:rPr>
            </w:pPr>
          </w:p>
        </w:tc>
      </w:tr>
      <w:tr w14:paraId="785378F1">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5CEF36B">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 xml:space="preserve">   2、运行维护经费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2FB3448B">
            <w:pPr>
              <w:widowControl/>
              <w:spacing w:line="360" w:lineRule="exact"/>
              <w:jc w:val="center"/>
              <w:rPr>
                <w:rFonts w:hint="eastAsia" w:ascii="仿宋_GB2312" w:hAnsi="仿宋_GB2312" w:eastAsia="仿宋_GB2312" w:cs="仿宋_GB2312"/>
                <w:sz w:val="20"/>
                <w:szCs w:val="20"/>
                <w:highlight w:val="none"/>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14:paraId="2020C9BE">
            <w:pPr>
              <w:widowControl/>
              <w:spacing w:line="360" w:lineRule="exact"/>
              <w:jc w:val="center"/>
              <w:rPr>
                <w:rFonts w:hint="eastAsia" w:ascii="仿宋_GB2312" w:hAnsi="仿宋_GB2312" w:eastAsia="仿宋_GB2312" w:cs="仿宋_GB2312"/>
                <w:sz w:val="20"/>
                <w:szCs w:val="20"/>
                <w:highlight w:val="none"/>
                <w:lang w:val="en-US" w:eastAsia="zh-CN"/>
              </w:rPr>
            </w:pPr>
          </w:p>
        </w:tc>
        <w:tc>
          <w:tcPr>
            <w:tcW w:w="2041" w:type="dxa"/>
            <w:gridSpan w:val="2"/>
            <w:tcBorders>
              <w:top w:val="single" w:color="auto" w:sz="4" w:space="0"/>
              <w:left w:val="nil"/>
              <w:bottom w:val="single" w:color="auto" w:sz="4" w:space="0"/>
              <w:right w:val="single" w:color="000000" w:sz="4" w:space="0"/>
            </w:tcBorders>
            <w:noWrap w:val="0"/>
            <w:vAlign w:val="center"/>
          </w:tcPr>
          <w:p w14:paraId="616E923D">
            <w:pPr>
              <w:widowControl/>
              <w:spacing w:line="360" w:lineRule="exact"/>
              <w:jc w:val="center"/>
              <w:rPr>
                <w:rFonts w:hint="eastAsia" w:ascii="仿宋_GB2312" w:hAnsi="仿宋_GB2312" w:eastAsia="仿宋_GB2312" w:cs="仿宋_GB2312"/>
                <w:sz w:val="20"/>
                <w:szCs w:val="20"/>
                <w:highlight w:val="none"/>
                <w:lang w:val="en-US" w:eastAsia="zh-CN"/>
              </w:rPr>
            </w:pPr>
          </w:p>
        </w:tc>
      </w:tr>
      <w:tr w14:paraId="15009739">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2A522271">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 xml:space="preserve">   3、专项资金</w:t>
            </w:r>
          </w:p>
        </w:tc>
        <w:tc>
          <w:tcPr>
            <w:tcW w:w="2038" w:type="dxa"/>
            <w:gridSpan w:val="2"/>
            <w:tcBorders>
              <w:top w:val="single" w:color="auto" w:sz="4" w:space="0"/>
              <w:left w:val="nil"/>
              <w:bottom w:val="single" w:color="auto" w:sz="4" w:space="0"/>
              <w:right w:val="single" w:color="000000" w:sz="4" w:space="0"/>
            </w:tcBorders>
            <w:noWrap w:val="0"/>
            <w:vAlign w:val="center"/>
          </w:tcPr>
          <w:p w14:paraId="531F0C80">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49</w:t>
            </w:r>
            <w:r>
              <w:rPr>
                <w:rFonts w:hint="eastAsia" w:ascii="仿宋_GB2312" w:hAnsi="仿宋_GB2312" w:eastAsia="仿宋_GB2312" w:cs="仿宋_GB2312"/>
                <w:sz w:val="20"/>
                <w:szCs w:val="20"/>
                <w:highlight w:val="none"/>
                <w:lang w:val="en-US" w:eastAsia="zh-CN"/>
              </w:rPr>
              <w:t>.</w:t>
            </w:r>
            <w:r>
              <w:rPr>
                <w:rFonts w:hint="eastAsia" w:ascii="仿宋_GB2312" w:hAnsi="仿宋_GB2312" w:eastAsia="仿宋_GB2312" w:cs="仿宋_GB2312"/>
                <w:sz w:val="20"/>
                <w:szCs w:val="20"/>
                <w:highlight w:val="none"/>
              </w:rPr>
              <w:t>77</w:t>
            </w:r>
          </w:p>
        </w:tc>
        <w:tc>
          <w:tcPr>
            <w:tcW w:w="2240" w:type="dxa"/>
            <w:gridSpan w:val="2"/>
            <w:tcBorders>
              <w:top w:val="single" w:color="auto" w:sz="4" w:space="0"/>
              <w:left w:val="nil"/>
              <w:bottom w:val="single" w:color="auto" w:sz="4" w:space="0"/>
              <w:right w:val="single" w:color="000000" w:sz="4" w:space="0"/>
            </w:tcBorders>
            <w:noWrap w:val="0"/>
            <w:vAlign w:val="center"/>
          </w:tcPr>
          <w:p w14:paraId="0D9F9DBF">
            <w:pPr>
              <w:widowControl/>
              <w:spacing w:line="360" w:lineRule="exact"/>
              <w:jc w:val="center"/>
              <w:rPr>
                <w:rFonts w:hint="default" w:ascii="仿宋_GB2312" w:hAnsi="仿宋_GB2312" w:eastAsia="仿宋_GB2312" w:cs="仿宋_GB2312"/>
                <w:sz w:val="20"/>
                <w:szCs w:val="20"/>
                <w:highlight w:val="none"/>
                <w:lang w:val="en-US" w:eastAsia="zh-CN"/>
              </w:rPr>
            </w:pPr>
          </w:p>
        </w:tc>
        <w:tc>
          <w:tcPr>
            <w:tcW w:w="2041" w:type="dxa"/>
            <w:gridSpan w:val="2"/>
            <w:tcBorders>
              <w:top w:val="single" w:color="auto" w:sz="4" w:space="0"/>
              <w:left w:val="nil"/>
              <w:bottom w:val="single" w:color="auto" w:sz="4" w:space="0"/>
              <w:right w:val="single" w:color="000000" w:sz="4" w:space="0"/>
            </w:tcBorders>
            <w:noWrap w:val="0"/>
            <w:vAlign w:val="center"/>
          </w:tcPr>
          <w:p w14:paraId="38667692">
            <w:pPr>
              <w:widowControl/>
              <w:spacing w:line="360" w:lineRule="exact"/>
              <w:jc w:val="center"/>
              <w:rPr>
                <w:rFonts w:hint="eastAsia" w:ascii="仿宋_GB2312" w:hAnsi="仿宋_GB2312" w:eastAsia="仿宋_GB2312" w:cs="仿宋_GB2312"/>
                <w:sz w:val="20"/>
                <w:szCs w:val="20"/>
                <w:highlight w:val="none"/>
                <w:lang w:val="en-US" w:eastAsia="zh-CN"/>
              </w:rPr>
            </w:pPr>
          </w:p>
        </w:tc>
      </w:tr>
      <w:tr w14:paraId="0E78B615">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5B847FD">
            <w:pPr>
              <w:widowControl/>
              <w:spacing w:line="360" w:lineRule="exact"/>
              <w:jc w:val="left"/>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xml:space="preserve">    办案费支出</w:t>
            </w:r>
          </w:p>
        </w:tc>
        <w:tc>
          <w:tcPr>
            <w:tcW w:w="2038" w:type="dxa"/>
            <w:gridSpan w:val="2"/>
            <w:tcBorders>
              <w:top w:val="single" w:color="auto" w:sz="4" w:space="0"/>
              <w:left w:val="nil"/>
              <w:bottom w:val="single" w:color="auto" w:sz="4" w:space="0"/>
              <w:right w:val="single" w:color="000000" w:sz="4" w:space="0"/>
            </w:tcBorders>
            <w:shd w:val="clear" w:color="auto" w:fill="auto"/>
            <w:noWrap w:val="0"/>
            <w:vAlign w:val="center"/>
          </w:tcPr>
          <w:p w14:paraId="56AA768B">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lang w:val="en-US" w:eastAsia="zh-CN"/>
              </w:rPr>
              <w:t>1.77</w:t>
            </w:r>
          </w:p>
        </w:tc>
        <w:tc>
          <w:tcPr>
            <w:tcW w:w="2240" w:type="dxa"/>
            <w:gridSpan w:val="2"/>
            <w:tcBorders>
              <w:top w:val="single" w:color="auto" w:sz="4" w:space="0"/>
              <w:left w:val="nil"/>
              <w:bottom w:val="single" w:color="auto" w:sz="4" w:space="0"/>
              <w:right w:val="single" w:color="000000" w:sz="4" w:space="0"/>
            </w:tcBorders>
            <w:shd w:val="clear" w:color="auto" w:fill="auto"/>
            <w:noWrap w:val="0"/>
            <w:vAlign w:val="center"/>
          </w:tcPr>
          <w:p w14:paraId="4E5DC4BB">
            <w:pPr>
              <w:widowControl/>
              <w:spacing w:line="360" w:lineRule="exact"/>
              <w:jc w:val="center"/>
              <w:rPr>
                <w:rFonts w:hint="default"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1.20</w:t>
            </w:r>
          </w:p>
        </w:tc>
        <w:tc>
          <w:tcPr>
            <w:tcW w:w="2041" w:type="dxa"/>
            <w:gridSpan w:val="2"/>
            <w:tcBorders>
              <w:top w:val="single" w:color="auto" w:sz="4" w:space="0"/>
              <w:left w:val="nil"/>
              <w:bottom w:val="single" w:color="auto" w:sz="4" w:space="0"/>
              <w:right w:val="single" w:color="000000" w:sz="4" w:space="0"/>
            </w:tcBorders>
            <w:noWrap w:val="0"/>
            <w:vAlign w:val="center"/>
          </w:tcPr>
          <w:p w14:paraId="7D7D7C04">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0.00</w:t>
            </w:r>
          </w:p>
        </w:tc>
      </w:tr>
      <w:tr w14:paraId="019A8009">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C327EE0">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环境监测、监控及监察能力建设</w:t>
            </w:r>
          </w:p>
        </w:tc>
        <w:tc>
          <w:tcPr>
            <w:tcW w:w="2038" w:type="dxa"/>
            <w:gridSpan w:val="2"/>
            <w:tcBorders>
              <w:top w:val="single" w:color="auto" w:sz="4" w:space="0"/>
              <w:left w:val="nil"/>
              <w:bottom w:val="single" w:color="auto" w:sz="4" w:space="0"/>
              <w:right w:val="single" w:color="000000" w:sz="4" w:space="0"/>
            </w:tcBorders>
            <w:shd w:val="clear" w:color="auto" w:fill="auto"/>
            <w:noWrap w:val="0"/>
            <w:vAlign w:val="center"/>
          </w:tcPr>
          <w:p w14:paraId="3078FF52">
            <w:pPr>
              <w:widowControl/>
              <w:spacing w:line="360" w:lineRule="exact"/>
              <w:jc w:val="center"/>
              <w:rPr>
                <w:rFonts w:hint="default"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lang w:val="en-US" w:eastAsia="zh-CN"/>
              </w:rPr>
              <w:t>25.00</w:t>
            </w:r>
          </w:p>
        </w:tc>
        <w:tc>
          <w:tcPr>
            <w:tcW w:w="2240" w:type="dxa"/>
            <w:gridSpan w:val="2"/>
            <w:tcBorders>
              <w:top w:val="single" w:color="auto" w:sz="4" w:space="0"/>
              <w:left w:val="nil"/>
              <w:bottom w:val="single" w:color="auto" w:sz="4" w:space="0"/>
              <w:right w:val="single" w:color="000000" w:sz="4" w:space="0"/>
            </w:tcBorders>
            <w:noWrap w:val="0"/>
            <w:vAlign w:val="center"/>
          </w:tcPr>
          <w:p w14:paraId="0BB4B25C">
            <w:pPr>
              <w:widowControl/>
              <w:spacing w:line="360" w:lineRule="exact"/>
              <w:jc w:val="center"/>
              <w:rPr>
                <w:rFonts w:hint="default" w:ascii="仿宋_GB2312" w:hAnsi="仿宋_GB2312" w:eastAsia="仿宋_GB2312" w:cs="仿宋_GB2312"/>
                <w:sz w:val="20"/>
                <w:szCs w:val="20"/>
                <w:highlight w:val="none"/>
                <w:lang w:val="en-US" w:eastAsia="zh-CN"/>
              </w:rPr>
            </w:pPr>
          </w:p>
        </w:tc>
        <w:tc>
          <w:tcPr>
            <w:tcW w:w="2041" w:type="dxa"/>
            <w:gridSpan w:val="2"/>
            <w:tcBorders>
              <w:top w:val="single" w:color="auto" w:sz="4" w:space="0"/>
              <w:left w:val="nil"/>
              <w:bottom w:val="single" w:color="auto" w:sz="4" w:space="0"/>
              <w:right w:val="single" w:color="000000" w:sz="4" w:space="0"/>
            </w:tcBorders>
            <w:noWrap w:val="0"/>
            <w:vAlign w:val="center"/>
          </w:tcPr>
          <w:p w14:paraId="65F7C6BE">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0.00</w:t>
            </w:r>
          </w:p>
        </w:tc>
      </w:tr>
      <w:tr w14:paraId="1842B504">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F320A3B">
            <w:pPr>
              <w:widowControl/>
              <w:spacing w:line="360" w:lineRule="exact"/>
              <w:ind w:firstLine="400" w:firstLineChars="200"/>
              <w:jc w:val="left"/>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环境监察、监测等运行经费</w:t>
            </w:r>
          </w:p>
        </w:tc>
        <w:tc>
          <w:tcPr>
            <w:tcW w:w="2038" w:type="dxa"/>
            <w:gridSpan w:val="2"/>
            <w:tcBorders>
              <w:top w:val="single" w:color="auto" w:sz="4" w:space="0"/>
              <w:left w:val="nil"/>
              <w:bottom w:val="single" w:color="auto" w:sz="4" w:space="0"/>
              <w:right w:val="single" w:color="000000" w:sz="4" w:space="0"/>
            </w:tcBorders>
            <w:shd w:val="clear" w:color="auto" w:fill="auto"/>
            <w:noWrap w:val="0"/>
            <w:vAlign w:val="center"/>
          </w:tcPr>
          <w:p w14:paraId="0443DE2D">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lang w:val="en-US" w:eastAsia="zh-CN"/>
              </w:rPr>
              <w:t>23.00</w:t>
            </w:r>
          </w:p>
        </w:tc>
        <w:tc>
          <w:tcPr>
            <w:tcW w:w="2240" w:type="dxa"/>
            <w:gridSpan w:val="2"/>
            <w:tcBorders>
              <w:top w:val="single" w:color="auto" w:sz="4" w:space="0"/>
              <w:left w:val="nil"/>
              <w:bottom w:val="single" w:color="auto" w:sz="4" w:space="0"/>
              <w:right w:val="single" w:color="000000" w:sz="4" w:space="0"/>
            </w:tcBorders>
            <w:noWrap w:val="0"/>
            <w:vAlign w:val="center"/>
          </w:tcPr>
          <w:p w14:paraId="289BA8A2">
            <w:pPr>
              <w:widowControl/>
              <w:spacing w:line="360" w:lineRule="exact"/>
              <w:jc w:val="center"/>
              <w:rPr>
                <w:rFonts w:hint="eastAsia" w:ascii="仿宋_GB2312" w:hAnsi="仿宋_GB2312" w:eastAsia="仿宋_GB2312" w:cs="仿宋_GB2312"/>
                <w:sz w:val="20"/>
                <w:szCs w:val="20"/>
                <w:highlight w:val="none"/>
                <w:lang w:val="en-US" w:eastAsia="zh-CN"/>
              </w:rPr>
            </w:pPr>
          </w:p>
        </w:tc>
        <w:tc>
          <w:tcPr>
            <w:tcW w:w="2041" w:type="dxa"/>
            <w:gridSpan w:val="2"/>
            <w:tcBorders>
              <w:top w:val="single" w:color="auto" w:sz="4" w:space="0"/>
              <w:left w:val="nil"/>
              <w:bottom w:val="single" w:color="auto" w:sz="4" w:space="0"/>
              <w:right w:val="single" w:color="000000" w:sz="4" w:space="0"/>
            </w:tcBorders>
            <w:noWrap w:val="0"/>
            <w:vAlign w:val="center"/>
          </w:tcPr>
          <w:p w14:paraId="077B7827">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25.83</w:t>
            </w:r>
          </w:p>
        </w:tc>
      </w:tr>
      <w:tr w14:paraId="2C3E1C57">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C051DF5">
            <w:pPr>
              <w:keepNext w:val="0"/>
              <w:keepLines w:val="0"/>
              <w:pageBreakBefore w:val="0"/>
              <w:widowControl/>
              <w:kinsoku/>
              <w:wordWrap/>
              <w:overflowPunct/>
              <w:topLinePunct w:val="0"/>
              <w:autoSpaceDE/>
              <w:autoSpaceDN/>
              <w:bidi w:val="0"/>
              <w:adjustRightInd/>
              <w:snapToGrid/>
              <w:spacing w:line="360" w:lineRule="exact"/>
              <w:ind w:firstLine="400" w:firstLineChars="200"/>
              <w:jc w:val="left"/>
              <w:textAlignment w:val="auto"/>
              <w:rPr>
                <w:rFonts w:hint="eastAsia" w:ascii="仿宋_GB2312" w:hAnsi="仿宋_GB2312" w:eastAsia="仿宋_GB2312" w:cs="仿宋_GB2312"/>
                <w:sz w:val="20"/>
                <w:szCs w:val="20"/>
                <w:highlight w:val="none"/>
              </w:rPr>
            </w:pPr>
            <w:bookmarkStart w:id="0" w:name="OLE_LINK7"/>
            <w:r>
              <w:rPr>
                <w:rFonts w:hint="eastAsia" w:ascii="仿宋_GB2312" w:hAnsi="仿宋_GB2312" w:eastAsia="仿宋_GB2312" w:cs="仿宋_GB2312"/>
                <w:sz w:val="20"/>
                <w:szCs w:val="20"/>
                <w:highlight w:val="none"/>
                <w:lang w:eastAsia="zh-CN"/>
              </w:rPr>
              <w:t>业务工作</w:t>
            </w:r>
            <w:r>
              <w:rPr>
                <w:rFonts w:hint="eastAsia" w:ascii="仿宋_GB2312" w:hAnsi="仿宋_GB2312" w:eastAsia="仿宋_GB2312" w:cs="仿宋_GB2312"/>
                <w:sz w:val="20"/>
                <w:szCs w:val="20"/>
                <w:highlight w:val="none"/>
              </w:rPr>
              <w:t>专项</w:t>
            </w:r>
            <w:r>
              <w:rPr>
                <w:rFonts w:hint="eastAsia" w:ascii="仿宋_GB2312" w:hAnsi="仿宋_GB2312" w:eastAsia="仿宋_GB2312" w:cs="仿宋_GB2312"/>
                <w:sz w:val="20"/>
                <w:szCs w:val="20"/>
                <w:highlight w:val="none"/>
                <w:lang w:eastAsia="zh-CN"/>
              </w:rPr>
              <w:t>资金</w:t>
            </w:r>
            <w:bookmarkEnd w:id="0"/>
          </w:p>
        </w:tc>
        <w:tc>
          <w:tcPr>
            <w:tcW w:w="2038" w:type="dxa"/>
            <w:gridSpan w:val="2"/>
            <w:tcBorders>
              <w:top w:val="single" w:color="auto" w:sz="4" w:space="0"/>
              <w:left w:val="nil"/>
              <w:bottom w:val="single" w:color="auto" w:sz="4" w:space="0"/>
              <w:right w:val="single" w:color="000000" w:sz="4" w:space="0"/>
            </w:tcBorders>
            <w:noWrap w:val="0"/>
            <w:vAlign w:val="center"/>
          </w:tcPr>
          <w:p w14:paraId="3AC277DF">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14:paraId="37261FAD">
            <w:pPr>
              <w:widowControl/>
              <w:spacing w:line="360" w:lineRule="exact"/>
              <w:jc w:val="center"/>
              <w:rPr>
                <w:rFonts w:hint="eastAsia" w:ascii="仿宋_GB2312" w:hAnsi="仿宋_GB2312" w:eastAsia="仿宋_GB2312" w:cs="仿宋_GB2312"/>
                <w:sz w:val="20"/>
                <w:szCs w:val="20"/>
                <w:highlight w:val="none"/>
              </w:rPr>
            </w:pPr>
          </w:p>
        </w:tc>
        <w:tc>
          <w:tcPr>
            <w:tcW w:w="2041" w:type="dxa"/>
            <w:gridSpan w:val="2"/>
            <w:tcBorders>
              <w:top w:val="single" w:color="auto" w:sz="4" w:space="0"/>
              <w:left w:val="nil"/>
              <w:bottom w:val="single" w:color="auto" w:sz="4" w:space="0"/>
              <w:right w:val="single" w:color="000000" w:sz="4" w:space="0"/>
            </w:tcBorders>
            <w:noWrap w:val="0"/>
            <w:vAlign w:val="center"/>
          </w:tcPr>
          <w:p w14:paraId="7B4110D0">
            <w:pPr>
              <w:widowControl/>
              <w:spacing w:line="360" w:lineRule="exact"/>
              <w:jc w:val="center"/>
              <w:rPr>
                <w:rFonts w:hint="default" w:ascii="仿宋_GB2312" w:hAnsi="仿宋_GB2312" w:eastAsia="仿宋_GB2312" w:cs="仿宋_GB2312"/>
                <w:sz w:val="20"/>
                <w:szCs w:val="20"/>
                <w:highlight w:val="none"/>
                <w:lang w:val="en-US" w:eastAsia="zh-CN"/>
              </w:rPr>
            </w:pPr>
            <w:bookmarkStart w:id="1" w:name="OLE_LINK6"/>
            <w:r>
              <w:rPr>
                <w:rFonts w:hint="eastAsia" w:ascii="仿宋_GB2312" w:hAnsi="仿宋_GB2312" w:eastAsia="仿宋_GB2312" w:cs="仿宋_GB2312"/>
                <w:sz w:val="20"/>
                <w:szCs w:val="20"/>
                <w:highlight w:val="none"/>
                <w:lang w:val="en-US" w:eastAsia="zh-CN"/>
              </w:rPr>
              <w:t>50.99</w:t>
            </w:r>
            <w:bookmarkEnd w:id="1"/>
          </w:p>
        </w:tc>
      </w:tr>
      <w:tr w14:paraId="7CCE4B94">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26BA5CFD">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公用经费</w:t>
            </w:r>
          </w:p>
        </w:tc>
        <w:tc>
          <w:tcPr>
            <w:tcW w:w="2038" w:type="dxa"/>
            <w:gridSpan w:val="2"/>
            <w:tcBorders>
              <w:top w:val="single" w:color="auto" w:sz="4" w:space="0"/>
              <w:left w:val="nil"/>
              <w:bottom w:val="single" w:color="auto" w:sz="4" w:space="0"/>
              <w:right w:val="single" w:color="000000" w:sz="4" w:space="0"/>
            </w:tcBorders>
            <w:shd w:val="clear" w:color="auto" w:fill="auto"/>
            <w:noWrap w:val="0"/>
            <w:vAlign w:val="center"/>
          </w:tcPr>
          <w:p w14:paraId="35CFC00A">
            <w:pPr>
              <w:widowControl/>
              <w:spacing w:line="360" w:lineRule="exact"/>
              <w:jc w:val="center"/>
              <w:rPr>
                <w:rFonts w:hint="default" w:ascii="仿宋_GB2312" w:hAnsi="仿宋_GB2312" w:eastAsia="仿宋_GB2312" w:cs="仿宋_GB2312"/>
                <w:color w:val="000000" w:themeColor="text1"/>
                <w:kern w:val="0"/>
                <w:sz w:val="20"/>
                <w:szCs w:val="20"/>
                <w:highlight w:val="none"/>
                <w:lang w:val="en-US" w:eastAsia="zh-CN" w:bidi="ar-SA"/>
                <w14:textFill>
                  <w14:solidFill>
                    <w14:schemeClr w14:val="tx1"/>
                  </w14:solidFill>
                </w14:textFill>
              </w:rPr>
            </w:pPr>
            <w:r>
              <w:rPr>
                <w:rFonts w:hint="eastAsia" w:ascii="仿宋_GB2312" w:hAnsi="仿宋_GB2312" w:eastAsia="仿宋_GB2312" w:cs="仿宋_GB2312"/>
                <w:sz w:val="20"/>
                <w:szCs w:val="20"/>
                <w:lang w:val="en-US" w:eastAsia="zh-CN"/>
              </w:rPr>
              <w:t xml:space="preserve"> 115.47 </w:t>
            </w:r>
          </w:p>
        </w:tc>
        <w:tc>
          <w:tcPr>
            <w:tcW w:w="2240" w:type="dxa"/>
            <w:gridSpan w:val="2"/>
            <w:tcBorders>
              <w:top w:val="single" w:color="auto" w:sz="4" w:space="0"/>
              <w:left w:val="nil"/>
              <w:bottom w:val="single" w:color="auto" w:sz="4" w:space="0"/>
              <w:right w:val="single" w:color="000000" w:sz="4" w:space="0"/>
            </w:tcBorders>
            <w:noWrap w:val="0"/>
            <w:vAlign w:val="center"/>
          </w:tcPr>
          <w:p w14:paraId="35A5CA49">
            <w:pPr>
              <w:widowControl/>
              <w:spacing w:line="360" w:lineRule="exact"/>
              <w:jc w:val="center"/>
              <w:rPr>
                <w:rFonts w:hint="default"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bidi="ar-SA"/>
              </w:rPr>
              <w:t>15.19</w:t>
            </w:r>
          </w:p>
        </w:tc>
        <w:tc>
          <w:tcPr>
            <w:tcW w:w="2041" w:type="dxa"/>
            <w:gridSpan w:val="2"/>
            <w:tcBorders>
              <w:top w:val="single" w:color="auto" w:sz="4" w:space="0"/>
              <w:left w:val="nil"/>
              <w:bottom w:val="single" w:color="auto" w:sz="4" w:space="0"/>
              <w:right w:val="single" w:color="000000" w:sz="4" w:space="0"/>
            </w:tcBorders>
            <w:noWrap w:val="0"/>
            <w:vAlign w:val="center"/>
          </w:tcPr>
          <w:p w14:paraId="7F0BF053">
            <w:pPr>
              <w:widowControl/>
              <w:spacing w:line="360" w:lineRule="exact"/>
              <w:jc w:val="center"/>
              <w:rPr>
                <w:rFonts w:hint="default"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bidi="ar-SA"/>
              </w:rPr>
              <w:t>76.64</w:t>
            </w:r>
          </w:p>
        </w:tc>
      </w:tr>
      <w:tr w14:paraId="24787524">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8C3AD95">
            <w:pPr>
              <w:widowControl/>
              <w:spacing w:line="360" w:lineRule="exact"/>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xml:space="preserve">    其中：办公经费</w:t>
            </w:r>
          </w:p>
        </w:tc>
        <w:tc>
          <w:tcPr>
            <w:tcW w:w="2038" w:type="dxa"/>
            <w:gridSpan w:val="2"/>
            <w:tcBorders>
              <w:top w:val="single" w:color="auto" w:sz="4" w:space="0"/>
              <w:left w:val="nil"/>
              <w:bottom w:val="single" w:color="auto" w:sz="4" w:space="0"/>
              <w:right w:val="single" w:color="000000" w:sz="4" w:space="0"/>
            </w:tcBorders>
            <w:shd w:val="clear" w:color="auto" w:fill="auto"/>
            <w:noWrap w:val="0"/>
            <w:vAlign w:val="center"/>
          </w:tcPr>
          <w:p w14:paraId="4CB9D3E4">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lang w:val="en-US" w:eastAsia="zh-CN"/>
              </w:rPr>
              <w:t xml:space="preserve"> 21.75 </w:t>
            </w:r>
          </w:p>
        </w:tc>
        <w:tc>
          <w:tcPr>
            <w:tcW w:w="2240" w:type="dxa"/>
            <w:gridSpan w:val="2"/>
            <w:tcBorders>
              <w:top w:val="single" w:color="auto" w:sz="4" w:space="0"/>
              <w:left w:val="nil"/>
              <w:bottom w:val="single" w:color="auto" w:sz="4" w:space="0"/>
              <w:right w:val="single" w:color="000000" w:sz="4" w:space="0"/>
            </w:tcBorders>
            <w:shd w:val="clear" w:color="auto" w:fill="auto"/>
            <w:noWrap w:val="0"/>
            <w:vAlign w:val="center"/>
          </w:tcPr>
          <w:p w14:paraId="5F8357E4">
            <w:pPr>
              <w:widowControl/>
              <w:spacing w:line="360" w:lineRule="exact"/>
              <w:jc w:val="center"/>
              <w:rPr>
                <w:rFonts w:hint="default"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bidi="ar-SA"/>
              </w:rPr>
              <w:t>10.2</w:t>
            </w:r>
          </w:p>
        </w:tc>
        <w:tc>
          <w:tcPr>
            <w:tcW w:w="2041" w:type="dxa"/>
            <w:gridSpan w:val="2"/>
            <w:tcBorders>
              <w:top w:val="single" w:color="auto" w:sz="4" w:space="0"/>
              <w:left w:val="nil"/>
              <w:bottom w:val="single" w:color="auto" w:sz="4" w:space="0"/>
              <w:right w:val="single" w:color="000000" w:sz="4" w:space="0"/>
            </w:tcBorders>
            <w:shd w:val="clear" w:color="auto" w:fill="auto"/>
            <w:noWrap w:val="0"/>
            <w:vAlign w:val="center"/>
          </w:tcPr>
          <w:p w14:paraId="422671EC">
            <w:pPr>
              <w:widowControl/>
              <w:spacing w:line="360" w:lineRule="exact"/>
              <w:jc w:val="center"/>
              <w:rPr>
                <w:rFonts w:hint="default"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bidi="ar-SA"/>
              </w:rPr>
              <w:t>13.04</w:t>
            </w:r>
          </w:p>
        </w:tc>
      </w:tr>
      <w:tr w14:paraId="3A565C77">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4D8772A">
            <w:pPr>
              <w:widowControl/>
              <w:spacing w:line="360" w:lineRule="exact"/>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xml:space="preserve">          水费、电费、差旅费</w:t>
            </w:r>
          </w:p>
        </w:tc>
        <w:tc>
          <w:tcPr>
            <w:tcW w:w="2038" w:type="dxa"/>
            <w:gridSpan w:val="2"/>
            <w:tcBorders>
              <w:top w:val="single" w:color="auto" w:sz="4" w:space="0"/>
              <w:left w:val="nil"/>
              <w:bottom w:val="single" w:color="auto" w:sz="4" w:space="0"/>
              <w:right w:val="single" w:color="000000" w:sz="4" w:space="0"/>
            </w:tcBorders>
            <w:shd w:val="clear" w:color="auto" w:fill="auto"/>
            <w:noWrap w:val="0"/>
            <w:vAlign w:val="center"/>
          </w:tcPr>
          <w:p w14:paraId="7E47A48D">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lang w:val="en-US" w:eastAsia="zh-CN"/>
              </w:rPr>
              <w:t xml:space="preserve"> 6.96 </w:t>
            </w:r>
          </w:p>
        </w:tc>
        <w:tc>
          <w:tcPr>
            <w:tcW w:w="2240" w:type="dxa"/>
            <w:gridSpan w:val="2"/>
            <w:tcBorders>
              <w:top w:val="single" w:color="auto" w:sz="4" w:space="0"/>
              <w:left w:val="nil"/>
              <w:bottom w:val="single" w:color="auto" w:sz="4" w:space="0"/>
              <w:right w:val="single" w:color="000000" w:sz="4" w:space="0"/>
            </w:tcBorders>
            <w:noWrap w:val="0"/>
            <w:vAlign w:val="center"/>
          </w:tcPr>
          <w:p w14:paraId="182E19CD">
            <w:pPr>
              <w:widowControl/>
              <w:spacing w:line="360" w:lineRule="exact"/>
              <w:jc w:val="center"/>
              <w:rPr>
                <w:rFonts w:hint="default"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bidi="ar-SA"/>
              </w:rPr>
              <w:t>1.91</w:t>
            </w:r>
          </w:p>
        </w:tc>
        <w:tc>
          <w:tcPr>
            <w:tcW w:w="2041" w:type="dxa"/>
            <w:gridSpan w:val="2"/>
            <w:tcBorders>
              <w:top w:val="single" w:color="auto" w:sz="4" w:space="0"/>
              <w:left w:val="nil"/>
              <w:bottom w:val="single" w:color="auto" w:sz="4" w:space="0"/>
              <w:right w:val="single" w:color="000000" w:sz="4" w:space="0"/>
            </w:tcBorders>
            <w:noWrap w:val="0"/>
            <w:vAlign w:val="center"/>
          </w:tcPr>
          <w:p w14:paraId="538E6DA5">
            <w:pPr>
              <w:widowControl/>
              <w:spacing w:line="360" w:lineRule="exact"/>
              <w:jc w:val="center"/>
              <w:rPr>
                <w:rFonts w:hint="default"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bidi="ar-SA"/>
              </w:rPr>
              <w:t>8.14</w:t>
            </w:r>
          </w:p>
        </w:tc>
      </w:tr>
      <w:tr w14:paraId="1493FACA">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E3020B3">
            <w:pPr>
              <w:widowControl/>
              <w:spacing w:line="360" w:lineRule="exact"/>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xml:space="preserve">          会议费、培训费</w:t>
            </w:r>
          </w:p>
        </w:tc>
        <w:tc>
          <w:tcPr>
            <w:tcW w:w="2038" w:type="dxa"/>
            <w:gridSpan w:val="2"/>
            <w:tcBorders>
              <w:top w:val="single" w:color="auto" w:sz="4" w:space="0"/>
              <w:left w:val="nil"/>
              <w:bottom w:val="single" w:color="auto" w:sz="4" w:space="0"/>
              <w:right w:val="single" w:color="000000" w:sz="4" w:space="0"/>
            </w:tcBorders>
            <w:shd w:val="clear" w:color="auto" w:fill="auto"/>
            <w:noWrap w:val="0"/>
            <w:vAlign w:val="center"/>
          </w:tcPr>
          <w:p w14:paraId="34F819F4">
            <w:pPr>
              <w:widowControl/>
              <w:spacing w:line="360" w:lineRule="exact"/>
              <w:jc w:val="center"/>
              <w:rPr>
                <w:rFonts w:hint="default"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14:paraId="113202BA">
            <w:pPr>
              <w:widowControl/>
              <w:spacing w:line="360" w:lineRule="exact"/>
              <w:jc w:val="center"/>
              <w:rPr>
                <w:rFonts w:hint="default" w:ascii="仿宋_GB2312" w:hAnsi="仿宋_GB2312" w:eastAsia="仿宋_GB2312" w:cs="仿宋_GB2312"/>
                <w:color w:val="auto"/>
                <w:kern w:val="0"/>
                <w:sz w:val="20"/>
                <w:szCs w:val="20"/>
                <w:lang w:val="en-US" w:eastAsia="zh-CN" w:bidi="ar-SA"/>
              </w:rPr>
            </w:pPr>
          </w:p>
        </w:tc>
        <w:tc>
          <w:tcPr>
            <w:tcW w:w="2041" w:type="dxa"/>
            <w:gridSpan w:val="2"/>
            <w:tcBorders>
              <w:top w:val="single" w:color="auto" w:sz="4" w:space="0"/>
              <w:left w:val="nil"/>
              <w:bottom w:val="single" w:color="auto" w:sz="4" w:space="0"/>
              <w:right w:val="single" w:color="000000" w:sz="4" w:space="0"/>
            </w:tcBorders>
            <w:noWrap w:val="0"/>
            <w:vAlign w:val="center"/>
          </w:tcPr>
          <w:p w14:paraId="2EB1F482">
            <w:pPr>
              <w:widowControl/>
              <w:spacing w:line="360" w:lineRule="exact"/>
              <w:jc w:val="center"/>
              <w:rPr>
                <w:rFonts w:hint="default" w:ascii="仿宋_GB2312" w:hAnsi="仿宋_GB2312" w:eastAsia="仿宋_GB2312" w:cs="仿宋_GB2312"/>
                <w:color w:val="auto"/>
                <w:kern w:val="0"/>
                <w:sz w:val="20"/>
                <w:szCs w:val="20"/>
                <w:lang w:val="en-US" w:eastAsia="zh-CN" w:bidi="ar-SA"/>
              </w:rPr>
            </w:pPr>
          </w:p>
        </w:tc>
      </w:tr>
      <w:tr w14:paraId="5603B3D9">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6F9FAFA">
            <w:pPr>
              <w:widowControl/>
              <w:spacing w:line="360" w:lineRule="exact"/>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政府采购金额</w:t>
            </w:r>
          </w:p>
        </w:tc>
        <w:tc>
          <w:tcPr>
            <w:tcW w:w="2038" w:type="dxa"/>
            <w:gridSpan w:val="2"/>
            <w:tcBorders>
              <w:top w:val="single" w:color="auto" w:sz="4" w:space="0"/>
              <w:left w:val="nil"/>
              <w:bottom w:val="single" w:color="auto" w:sz="4" w:space="0"/>
              <w:right w:val="single" w:color="000000" w:sz="4" w:space="0"/>
            </w:tcBorders>
            <w:shd w:val="clear" w:color="auto" w:fill="auto"/>
            <w:noWrap w:val="0"/>
            <w:vAlign w:val="center"/>
          </w:tcPr>
          <w:p w14:paraId="26D2CD54">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97.97</w:t>
            </w:r>
          </w:p>
        </w:tc>
        <w:tc>
          <w:tcPr>
            <w:tcW w:w="2240" w:type="dxa"/>
            <w:gridSpan w:val="2"/>
            <w:tcBorders>
              <w:top w:val="single" w:color="auto" w:sz="4" w:space="0"/>
              <w:left w:val="nil"/>
              <w:bottom w:val="single" w:color="auto" w:sz="4" w:space="0"/>
              <w:right w:val="single" w:color="000000" w:sz="4" w:space="0"/>
            </w:tcBorders>
            <w:noWrap w:val="0"/>
            <w:vAlign w:val="center"/>
          </w:tcPr>
          <w:p w14:paraId="3BD77E32">
            <w:pPr>
              <w:widowControl/>
              <w:spacing w:line="360" w:lineRule="exact"/>
              <w:jc w:val="center"/>
              <w:rPr>
                <w:rFonts w:hint="default"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bidi="ar-SA"/>
              </w:rPr>
              <w:t>99.65</w:t>
            </w:r>
          </w:p>
        </w:tc>
        <w:tc>
          <w:tcPr>
            <w:tcW w:w="2041" w:type="dxa"/>
            <w:gridSpan w:val="2"/>
            <w:tcBorders>
              <w:top w:val="single" w:color="auto" w:sz="4" w:space="0"/>
              <w:left w:val="nil"/>
              <w:bottom w:val="single" w:color="auto" w:sz="4" w:space="0"/>
              <w:right w:val="single" w:color="000000" w:sz="4" w:space="0"/>
            </w:tcBorders>
            <w:noWrap w:val="0"/>
            <w:vAlign w:val="center"/>
          </w:tcPr>
          <w:p w14:paraId="54031E25">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109.36</w:t>
            </w:r>
          </w:p>
        </w:tc>
      </w:tr>
      <w:tr w14:paraId="48BC9F2C">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D3CAA9A">
            <w:pPr>
              <w:widowControl/>
              <w:spacing w:line="360" w:lineRule="exact"/>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14:paraId="4D286A09">
            <w:pPr>
              <w:widowControl/>
              <w:spacing w:line="360" w:lineRule="exact"/>
              <w:jc w:val="center"/>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rPr>
              <w:t>——</w:t>
            </w:r>
          </w:p>
        </w:tc>
        <w:tc>
          <w:tcPr>
            <w:tcW w:w="2240" w:type="dxa"/>
            <w:gridSpan w:val="2"/>
            <w:tcBorders>
              <w:top w:val="single" w:color="auto" w:sz="4" w:space="0"/>
              <w:left w:val="nil"/>
              <w:bottom w:val="single" w:color="auto" w:sz="4" w:space="0"/>
              <w:right w:val="single" w:color="000000" w:sz="4" w:space="0"/>
            </w:tcBorders>
            <w:noWrap w:val="0"/>
            <w:vAlign w:val="center"/>
          </w:tcPr>
          <w:p w14:paraId="502AF559">
            <w:pPr>
              <w:widowControl/>
              <w:spacing w:line="360" w:lineRule="exact"/>
              <w:jc w:val="center"/>
              <w:rPr>
                <w:rFonts w:hint="default"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bidi="ar-SA"/>
              </w:rPr>
              <w:t>182.31</w:t>
            </w:r>
          </w:p>
        </w:tc>
        <w:tc>
          <w:tcPr>
            <w:tcW w:w="2041" w:type="dxa"/>
            <w:gridSpan w:val="2"/>
            <w:tcBorders>
              <w:top w:val="single" w:color="auto" w:sz="4" w:space="0"/>
              <w:left w:val="nil"/>
              <w:bottom w:val="single" w:color="auto" w:sz="4" w:space="0"/>
              <w:right w:val="single" w:color="000000" w:sz="4" w:space="0"/>
            </w:tcBorders>
            <w:noWrap w:val="0"/>
            <w:vAlign w:val="center"/>
          </w:tcPr>
          <w:p w14:paraId="3887C1D1">
            <w:pPr>
              <w:widowControl/>
              <w:spacing w:line="360" w:lineRule="exact"/>
              <w:jc w:val="center"/>
              <w:rPr>
                <w:rFonts w:hint="eastAsia" w:ascii="仿宋_GB2312" w:hAnsi="仿宋_GB2312" w:eastAsia="仿宋_GB2312" w:cs="仿宋_GB2312"/>
                <w:color w:val="auto"/>
                <w:sz w:val="20"/>
                <w:szCs w:val="20"/>
                <w:highlight w:val="none"/>
              </w:rPr>
            </w:pPr>
          </w:p>
        </w:tc>
      </w:tr>
      <w:tr w14:paraId="0A71DDD0">
        <w:tblPrEx>
          <w:tblCellMar>
            <w:top w:w="0" w:type="dxa"/>
            <w:left w:w="108" w:type="dxa"/>
            <w:bottom w:w="0" w:type="dxa"/>
            <w:right w:w="108" w:type="dxa"/>
          </w:tblCellMar>
        </w:tblPrEx>
        <w:trPr>
          <w:trHeight w:val="0"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14:paraId="2CA632AC">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楼堂馆所控制情况</w:t>
            </w:r>
            <w:r>
              <w:rPr>
                <w:rFonts w:hint="eastAsia" w:ascii="仿宋_GB2312" w:hAnsi="仿宋_GB2312" w:eastAsia="仿宋_GB2312" w:cs="仿宋_GB2312"/>
                <w:sz w:val="20"/>
                <w:szCs w:val="20"/>
                <w:highlight w:val="none"/>
              </w:rPr>
              <w:br w:type="textWrapping"/>
            </w:r>
            <w:r>
              <w:rPr>
                <w:rFonts w:hint="eastAsia" w:ascii="仿宋_GB2312" w:hAnsi="仿宋_GB2312" w:eastAsia="仿宋_GB2312" w:cs="仿宋_GB2312"/>
                <w:sz w:val="20"/>
                <w:szCs w:val="20"/>
                <w:highlight w:val="none"/>
              </w:rPr>
              <w:t>（202</w:t>
            </w:r>
            <w:r>
              <w:rPr>
                <w:rFonts w:hint="eastAsia" w:ascii="仿宋_GB2312" w:hAnsi="仿宋_GB2312" w:eastAsia="仿宋_GB2312" w:cs="仿宋_GB2312"/>
                <w:sz w:val="20"/>
                <w:szCs w:val="20"/>
                <w:highlight w:val="none"/>
                <w:lang w:val="en-US" w:eastAsia="zh-CN"/>
              </w:rPr>
              <w:t>4</w:t>
            </w:r>
            <w:r>
              <w:rPr>
                <w:rFonts w:hint="eastAsia" w:ascii="仿宋_GB2312" w:hAnsi="仿宋_GB2312" w:eastAsia="仿宋_GB2312" w:cs="仿宋_GB2312"/>
                <w:sz w:val="20"/>
                <w:szCs w:val="20"/>
                <w:highlight w:val="none"/>
              </w:rPr>
              <w:t>年完工项目）</w:t>
            </w:r>
          </w:p>
        </w:tc>
        <w:tc>
          <w:tcPr>
            <w:tcW w:w="1189" w:type="dxa"/>
            <w:tcBorders>
              <w:top w:val="nil"/>
              <w:left w:val="nil"/>
              <w:bottom w:val="single" w:color="auto" w:sz="4" w:space="0"/>
              <w:right w:val="single" w:color="auto" w:sz="4" w:space="0"/>
            </w:tcBorders>
            <w:noWrap w:val="0"/>
            <w:vAlign w:val="center"/>
          </w:tcPr>
          <w:p w14:paraId="73B28CA9">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批复规模</w:t>
            </w:r>
            <w:r>
              <w:rPr>
                <w:rFonts w:hint="eastAsia" w:ascii="仿宋_GB2312" w:hAnsi="仿宋_GB2312" w:eastAsia="仿宋_GB2312" w:cs="仿宋_GB2312"/>
                <w:bCs/>
                <w:sz w:val="20"/>
                <w:szCs w:val="20"/>
                <w:highlight w:val="none"/>
              </w:rPr>
              <w:br w:type="textWrapping"/>
            </w:r>
            <w:r>
              <w:rPr>
                <w:rFonts w:hint="eastAsia" w:ascii="仿宋_GB2312" w:hAnsi="仿宋_GB2312" w:eastAsia="仿宋_GB2312" w:cs="仿宋_GB2312"/>
                <w:bCs/>
                <w:sz w:val="20"/>
                <w:szCs w:val="20"/>
                <w:highlight w:val="none"/>
              </w:rPr>
              <w:t>（㎡）</w:t>
            </w:r>
          </w:p>
        </w:tc>
        <w:tc>
          <w:tcPr>
            <w:tcW w:w="849" w:type="dxa"/>
            <w:tcBorders>
              <w:top w:val="nil"/>
              <w:left w:val="nil"/>
              <w:bottom w:val="single" w:color="auto" w:sz="4" w:space="0"/>
              <w:right w:val="single" w:color="auto" w:sz="4" w:space="0"/>
            </w:tcBorders>
            <w:noWrap w:val="0"/>
            <w:vAlign w:val="center"/>
          </w:tcPr>
          <w:p w14:paraId="2BABDC9A">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实际规模（㎡）</w:t>
            </w:r>
          </w:p>
        </w:tc>
        <w:tc>
          <w:tcPr>
            <w:tcW w:w="1129" w:type="dxa"/>
            <w:tcBorders>
              <w:top w:val="nil"/>
              <w:left w:val="nil"/>
              <w:bottom w:val="single" w:color="auto" w:sz="4" w:space="0"/>
              <w:right w:val="single" w:color="auto" w:sz="4" w:space="0"/>
            </w:tcBorders>
            <w:noWrap w:val="0"/>
            <w:vAlign w:val="center"/>
          </w:tcPr>
          <w:p w14:paraId="5CA1806C">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规模控制率</w:t>
            </w:r>
          </w:p>
        </w:tc>
        <w:tc>
          <w:tcPr>
            <w:tcW w:w="1111" w:type="dxa"/>
            <w:tcBorders>
              <w:top w:val="nil"/>
              <w:left w:val="nil"/>
              <w:bottom w:val="single" w:color="auto" w:sz="4" w:space="0"/>
              <w:right w:val="single" w:color="auto" w:sz="4" w:space="0"/>
            </w:tcBorders>
            <w:noWrap w:val="0"/>
            <w:vAlign w:val="center"/>
          </w:tcPr>
          <w:p w14:paraId="548D1371">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预算投资（万元）</w:t>
            </w:r>
          </w:p>
        </w:tc>
        <w:tc>
          <w:tcPr>
            <w:tcW w:w="1081" w:type="dxa"/>
            <w:tcBorders>
              <w:top w:val="nil"/>
              <w:left w:val="nil"/>
              <w:bottom w:val="single" w:color="auto" w:sz="4" w:space="0"/>
              <w:right w:val="single" w:color="auto" w:sz="4" w:space="0"/>
            </w:tcBorders>
            <w:noWrap w:val="0"/>
            <w:vAlign w:val="center"/>
          </w:tcPr>
          <w:p w14:paraId="6B2ED25B">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实际投资（万元）</w:t>
            </w:r>
          </w:p>
        </w:tc>
        <w:tc>
          <w:tcPr>
            <w:tcW w:w="960" w:type="dxa"/>
            <w:tcBorders>
              <w:top w:val="nil"/>
              <w:left w:val="nil"/>
              <w:bottom w:val="single" w:color="auto" w:sz="4" w:space="0"/>
              <w:right w:val="single" w:color="auto" w:sz="4" w:space="0"/>
            </w:tcBorders>
            <w:noWrap w:val="0"/>
            <w:vAlign w:val="center"/>
          </w:tcPr>
          <w:p w14:paraId="1B6B5A04">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投资概算控制率</w:t>
            </w:r>
          </w:p>
        </w:tc>
      </w:tr>
      <w:tr w14:paraId="7F32A342">
        <w:tblPrEx>
          <w:tblCellMar>
            <w:top w:w="0" w:type="dxa"/>
            <w:left w:w="108" w:type="dxa"/>
            <w:bottom w:w="0" w:type="dxa"/>
            <w:right w:w="108" w:type="dxa"/>
          </w:tblCellMar>
        </w:tblPrEx>
        <w:trPr>
          <w:trHeight w:val="0"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14:paraId="1EB148D1">
            <w:pPr>
              <w:widowControl/>
              <w:spacing w:line="360" w:lineRule="exact"/>
              <w:jc w:val="left"/>
              <w:rPr>
                <w:rFonts w:hint="eastAsia" w:ascii="仿宋_GB2312" w:hAnsi="仿宋_GB2312" w:eastAsia="仿宋_GB2312" w:cs="仿宋_GB2312"/>
                <w:sz w:val="20"/>
                <w:szCs w:val="20"/>
                <w:highlight w:val="none"/>
              </w:rPr>
            </w:pPr>
          </w:p>
        </w:tc>
        <w:tc>
          <w:tcPr>
            <w:tcW w:w="1189" w:type="dxa"/>
            <w:tcBorders>
              <w:top w:val="nil"/>
              <w:left w:val="nil"/>
              <w:bottom w:val="single" w:color="auto" w:sz="4" w:space="0"/>
              <w:right w:val="single" w:color="auto" w:sz="4" w:space="0"/>
            </w:tcBorders>
            <w:noWrap w:val="0"/>
            <w:vAlign w:val="center"/>
          </w:tcPr>
          <w:p w14:paraId="0306A6D3">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849" w:type="dxa"/>
            <w:tcBorders>
              <w:top w:val="nil"/>
              <w:left w:val="nil"/>
              <w:bottom w:val="single" w:color="auto" w:sz="4" w:space="0"/>
              <w:right w:val="single" w:color="auto" w:sz="4" w:space="0"/>
            </w:tcBorders>
            <w:noWrap w:val="0"/>
            <w:vAlign w:val="center"/>
          </w:tcPr>
          <w:p w14:paraId="14370B19">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129" w:type="dxa"/>
            <w:tcBorders>
              <w:top w:val="nil"/>
              <w:left w:val="nil"/>
              <w:bottom w:val="single" w:color="auto" w:sz="4" w:space="0"/>
              <w:right w:val="single" w:color="auto" w:sz="4" w:space="0"/>
            </w:tcBorders>
            <w:noWrap w:val="0"/>
            <w:vAlign w:val="center"/>
          </w:tcPr>
          <w:p w14:paraId="452190F4">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111" w:type="dxa"/>
            <w:tcBorders>
              <w:top w:val="nil"/>
              <w:left w:val="nil"/>
              <w:bottom w:val="single" w:color="auto" w:sz="4" w:space="0"/>
              <w:right w:val="single" w:color="auto" w:sz="4" w:space="0"/>
            </w:tcBorders>
            <w:noWrap w:val="0"/>
            <w:vAlign w:val="center"/>
          </w:tcPr>
          <w:p w14:paraId="2D5D03F0">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081" w:type="dxa"/>
            <w:tcBorders>
              <w:top w:val="nil"/>
              <w:left w:val="nil"/>
              <w:bottom w:val="single" w:color="auto" w:sz="4" w:space="0"/>
              <w:right w:val="single" w:color="auto" w:sz="4" w:space="0"/>
            </w:tcBorders>
            <w:noWrap w:val="0"/>
            <w:vAlign w:val="center"/>
          </w:tcPr>
          <w:p w14:paraId="40A5557A">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960" w:type="dxa"/>
            <w:tcBorders>
              <w:top w:val="nil"/>
              <w:left w:val="nil"/>
              <w:bottom w:val="single" w:color="auto" w:sz="4" w:space="0"/>
              <w:right w:val="single" w:color="auto" w:sz="4" w:space="0"/>
            </w:tcBorders>
            <w:noWrap w:val="0"/>
            <w:vAlign w:val="center"/>
          </w:tcPr>
          <w:p w14:paraId="28D014AC">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r>
      <w:tr w14:paraId="5F79DCA8">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C043EF2">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厉行节约保障措施</w:t>
            </w:r>
          </w:p>
        </w:tc>
        <w:tc>
          <w:tcPr>
            <w:tcW w:w="6319" w:type="dxa"/>
            <w:gridSpan w:val="6"/>
            <w:tcBorders>
              <w:top w:val="single" w:color="auto" w:sz="4" w:space="0"/>
              <w:left w:val="nil"/>
              <w:bottom w:val="single" w:color="auto" w:sz="4" w:space="0"/>
              <w:right w:val="single" w:color="000000" w:sz="4" w:space="0"/>
            </w:tcBorders>
            <w:noWrap w:val="0"/>
            <w:vAlign w:val="center"/>
          </w:tcPr>
          <w:p w14:paraId="4153B472">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控制三公经费的支出　</w:t>
            </w:r>
          </w:p>
        </w:tc>
      </w:tr>
    </w:tbl>
    <w:p w14:paraId="6F01CA22">
      <w:pPr>
        <w:widowControl/>
        <w:spacing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说明：“项目支出”需要填报基本支出以外的所有项目支出情况，“公用经费”填报基本支出中的一般商品和服务支出。</w:t>
      </w:r>
    </w:p>
    <w:p w14:paraId="69B6C51A">
      <w:pPr>
        <w:widowControl/>
        <w:spacing w:afterLines="0" w:line="400" w:lineRule="exact"/>
        <w:jc w:val="left"/>
        <w:rPr>
          <w:rFonts w:hint="default" w:ascii="Times New Roman" w:hAnsi="Times New Roman" w:eastAsia="仿宋_GB2312" w:cs="Times New Roman"/>
          <w:sz w:val="22"/>
          <w:highlight w:val="none"/>
        </w:rPr>
      </w:pPr>
    </w:p>
    <w:p w14:paraId="555DD5D8">
      <w:pPr>
        <w:widowControl/>
        <w:spacing w:after="0" w:afterLines="0" w:line="400" w:lineRule="exact"/>
        <w:jc w:val="left"/>
        <w:rPr>
          <w:rFonts w:hint="eastAsia" w:ascii="黑体" w:hAnsi="黑体" w:eastAsia="黑体" w:cs="黑体"/>
          <w:sz w:val="32"/>
          <w:szCs w:val="32"/>
          <w:highlight w:val="none"/>
          <w:lang w:eastAsia="zh-CN"/>
        </w:rPr>
      </w:pPr>
      <w:r>
        <w:rPr>
          <w:rFonts w:hint="default" w:ascii="Times New Roman" w:hAnsi="Times New Roman" w:eastAsia="仿宋_GB2312" w:cs="Times New Roman"/>
          <w:sz w:val="22"/>
          <w:highlight w:val="none"/>
        </w:rPr>
        <w:t>填表人：        填报日期：          联系电话：            单位负责人签字：</w:t>
      </w:r>
      <w:r>
        <w:rPr>
          <w:rFonts w:hint="default" w:ascii="Times New Roman" w:hAnsi="Times New Roman" w:eastAsia="仿宋_GB2312" w:cs="Times New Roman"/>
          <w:sz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14:paraId="57436A2B">
      <w:pPr>
        <w:widowControl/>
        <w:spacing w:after="120" w:afterLines="50"/>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年度部门整体支出绩效自评表</w:t>
      </w:r>
    </w:p>
    <w:tbl>
      <w:tblPr>
        <w:tblStyle w:val="9"/>
        <w:tblW w:w="10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1097"/>
        <w:gridCol w:w="1137"/>
        <w:gridCol w:w="1134"/>
        <w:gridCol w:w="1306"/>
        <w:gridCol w:w="1264"/>
        <w:gridCol w:w="714"/>
        <w:gridCol w:w="916"/>
        <w:gridCol w:w="1436"/>
      </w:tblGrid>
      <w:tr w14:paraId="456C5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noWrap w:val="0"/>
            <w:vAlign w:val="center"/>
          </w:tcPr>
          <w:p w14:paraId="2BB58709">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市</w:t>
            </w:r>
            <w:r>
              <w:rPr>
                <w:rFonts w:hint="eastAsia" w:ascii="仿宋_GB2312" w:hAnsi="仿宋_GB2312" w:eastAsia="仿宋_GB2312" w:cs="仿宋_GB2312"/>
                <w:color w:val="000000"/>
                <w:sz w:val="20"/>
                <w:szCs w:val="20"/>
                <w:highlight w:val="none"/>
              </w:rPr>
              <w:t>级预算部门名称</w:t>
            </w:r>
          </w:p>
        </w:tc>
        <w:tc>
          <w:tcPr>
            <w:tcW w:w="9004" w:type="dxa"/>
            <w:gridSpan w:val="8"/>
            <w:noWrap w:val="0"/>
            <w:vAlign w:val="center"/>
          </w:tcPr>
          <w:p w14:paraId="5FCEDA89">
            <w:pPr>
              <w:widowControl/>
              <w:spacing w:line="240" w:lineRule="exact"/>
              <w:jc w:val="center"/>
              <w:rPr>
                <w:rFonts w:hint="default" w:ascii="仿宋_GB2312" w:hAnsi="仿宋_GB2312" w:eastAsia="仿宋_GB2312" w:cs="仿宋_GB2312"/>
                <w:color w:val="000000"/>
                <w:sz w:val="20"/>
                <w:szCs w:val="20"/>
                <w:highlight w:val="none"/>
              </w:rPr>
            </w:pPr>
            <w:bookmarkStart w:id="2" w:name="OLE_LINK9"/>
            <w:r>
              <w:rPr>
                <w:rFonts w:hint="default" w:ascii="仿宋_GB2312" w:hAnsi="仿宋_GB2312" w:eastAsia="仿宋_GB2312" w:cs="仿宋_GB2312"/>
                <w:color w:val="000000"/>
                <w:sz w:val="20"/>
                <w:szCs w:val="20"/>
                <w:lang w:eastAsia="zh-CN"/>
              </w:rPr>
              <w:t>岳阳市生态环境局屈原分局</w:t>
            </w:r>
            <w:bookmarkEnd w:id="2"/>
          </w:p>
        </w:tc>
      </w:tr>
      <w:tr w14:paraId="6E997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restart"/>
            <w:noWrap w:val="0"/>
            <w:vAlign w:val="center"/>
          </w:tcPr>
          <w:p w14:paraId="180120BD">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年度预</w:t>
            </w:r>
          </w:p>
          <w:p w14:paraId="2180BDD0">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算申请</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234" w:type="dxa"/>
            <w:gridSpan w:val="2"/>
            <w:noWrap w:val="0"/>
            <w:vAlign w:val="center"/>
          </w:tcPr>
          <w:p w14:paraId="1D9218B2">
            <w:pPr>
              <w:spacing w:line="240" w:lineRule="exact"/>
              <w:jc w:val="center"/>
              <w:rPr>
                <w:rFonts w:hint="eastAsia" w:ascii="仿宋_GB2312" w:hAnsi="仿宋_GB2312" w:eastAsia="仿宋_GB2312" w:cs="仿宋_GB2312"/>
                <w:sz w:val="20"/>
                <w:szCs w:val="20"/>
                <w:highlight w:val="none"/>
              </w:rPr>
            </w:pPr>
          </w:p>
        </w:tc>
        <w:tc>
          <w:tcPr>
            <w:tcW w:w="1134" w:type="dxa"/>
            <w:noWrap w:val="0"/>
            <w:vAlign w:val="center"/>
          </w:tcPr>
          <w:p w14:paraId="584F3430">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年初预算数</w:t>
            </w:r>
          </w:p>
        </w:tc>
        <w:tc>
          <w:tcPr>
            <w:tcW w:w="1306" w:type="dxa"/>
            <w:noWrap w:val="0"/>
            <w:vAlign w:val="center"/>
          </w:tcPr>
          <w:p w14:paraId="7F5307D8">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全年预算数</w:t>
            </w:r>
          </w:p>
        </w:tc>
        <w:tc>
          <w:tcPr>
            <w:tcW w:w="1264" w:type="dxa"/>
            <w:noWrap w:val="0"/>
            <w:vAlign w:val="center"/>
          </w:tcPr>
          <w:p w14:paraId="7A2EFB9B">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全年执行数</w:t>
            </w:r>
          </w:p>
        </w:tc>
        <w:tc>
          <w:tcPr>
            <w:tcW w:w="714" w:type="dxa"/>
            <w:noWrap w:val="0"/>
            <w:vAlign w:val="center"/>
          </w:tcPr>
          <w:p w14:paraId="3B22AE38">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916" w:type="dxa"/>
            <w:noWrap w:val="0"/>
            <w:vAlign w:val="center"/>
          </w:tcPr>
          <w:p w14:paraId="3DC1D531">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36" w:type="dxa"/>
            <w:noWrap w:val="0"/>
            <w:vAlign w:val="center"/>
          </w:tcPr>
          <w:p w14:paraId="4CE702B2">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200C3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noWrap w:val="0"/>
            <w:vAlign w:val="center"/>
          </w:tcPr>
          <w:p w14:paraId="68A28207">
            <w:pPr>
              <w:widowControl/>
              <w:spacing w:line="240" w:lineRule="exact"/>
              <w:jc w:val="center"/>
              <w:rPr>
                <w:rFonts w:hint="eastAsia" w:ascii="仿宋_GB2312" w:hAnsi="仿宋_GB2312" w:eastAsia="仿宋_GB2312" w:cs="仿宋_GB2312"/>
                <w:color w:val="000000"/>
                <w:sz w:val="20"/>
                <w:szCs w:val="20"/>
                <w:highlight w:val="none"/>
              </w:rPr>
            </w:pPr>
          </w:p>
        </w:tc>
        <w:tc>
          <w:tcPr>
            <w:tcW w:w="2234" w:type="dxa"/>
            <w:gridSpan w:val="2"/>
            <w:noWrap w:val="0"/>
            <w:vAlign w:val="center"/>
          </w:tcPr>
          <w:p w14:paraId="47A5625C">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年度资金总额</w:t>
            </w:r>
          </w:p>
        </w:tc>
        <w:tc>
          <w:tcPr>
            <w:tcW w:w="1134" w:type="dxa"/>
            <w:noWrap w:val="0"/>
            <w:vAlign w:val="center"/>
          </w:tcPr>
          <w:p w14:paraId="23BB1A4B">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96.47</w:t>
            </w:r>
          </w:p>
        </w:tc>
        <w:tc>
          <w:tcPr>
            <w:tcW w:w="1306" w:type="dxa"/>
            <w:noWrap w:val="0"/>
            <w:vAlign w:val="center"/>
          </w:tcPr>
          <w:p w14:paraId="44424188">
            <w:pPr>
              <w:spacing w:line="240" w:lineRule="exact"/>
              <w:jc w:val="center"/>
              <w:rPr>
                <w:rFonts w:hint="default" w:ascii="仿宋_GB2312" w:hAnsi="仿宋_GB2312" w:eastAsia="仿宋_GB2312" w:cs="仿宋_GB2312"/>
                <w:sz w:val="20"/>
                <w:szCs w:val="20"/>
                <w:highlight w:val="none"/>
                <w:lang w:val="en-US" w:eastAsia="zh-CN"/>
              </w:rPr>
            </w:pPr>
            <w:bookmarkStart w:id="3" w:name="OLE_LINK1"/>
            <w:r>
              <w:rPr>
                <w:rFonts w:hint="eastAsia" w:ascii="仿宋_GB2312" w:hAnsi="仿宋_GB2312" w:eastAsia="仿宋_GB2312" w:cs="仿宋_GB2312"/>
                <w:sz w:val="20"/>
                <w:szCs w:val="20"/>
                <w:highlight w:val="none"/>
                <w:lang w:val="en-US" w:eastAsia="zh-CN"/>
              </w:rPr>
              <w:t>354.40</w:t>
            </w:r>
            <w:bookmarkEnd w:id="3"/>
          </w:p>
        </w:tc>
        <w:tc>
          <w:tcPr>
            <w:tcW w:w="1264" w:type="dxa"/>
            <w:noWrap w:val="0"/>
            <w:vAlign w:val="center"/>
          </w:tcPr>
          <w:p w14:paraId="4FD67EE0">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307.16</w:t>
            </w:r>
          </w:p>
        </w:tc>
        <w:tc>
          <w:tcPr>
            <w:tcW w:w="714" w:type="dxa"/>
            <w:noWrap w:val="0"/>
            <w:vAlign w:val="center"/>
          </w:tcPr>
          <w:p w14:paraId="7BA8E4C7">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10</w:t>
            </w:r>
          </w:p>
        </w:tc>
        <w:tc>
          <w:tcPr>
            <w:tcW w:w="916" w:type="dxa"/>
            <w:noWrap w:val="0"/>
            <w:vAlign w:val="center"/>
          </w:tcPr>
          <w:p w14:paraId="185D6A6D">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86.80%</w:t>
            </w:r>
          </w:p>
        </w:tc>
        <w:tc>
          <w:tcPr>
            <w:tcW w:w="1436" w:type="dxa"/>
            <w:noWrap w:val="0"/>
            <w:vAlign w:val="center"/>
          </w:tcPr>
          <w:p w14:paraId="2C09CB29">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8</w:t>
            </w:r>
          </w:p>
        </w:tc>
      </w:tr>
      <w:tr w14:paraId="605C7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noWrap w:val="0"/>
            <w:vAlign w:val="center"/>
          </w:tcPr>
          <w:p w14:paraId="4AF608F5">
            <w:pPr>
              <w:widowControl/>
              <w:spacing w:line="240" w:lineRule="exact"/>
              <w:jc w:val="left"/>
              <w:rPr>
                <w:rFonts w:hint="eastAsia" w:ascii="仿宋_GB2312" w:hAnsi="仿宋_GB2312" w:eastAsia="仿宋_GB2312" w:cs="仿宋_GB2312"/>
                <w:color w:val="000000"/>
                <w:sz w:val="20"/>
                <w:szCs w:val="20"/>
                <w:highlight w:val="none"/>
              </w:rPr>
            </w:pPr>
          </w:p>
        </w:tc>
        <w:tc>
          <w:tcPr>
            <w:tcW w:w="4674" w:type="dxa"/>
            <w:gridSpan w:val="4"/>
            <w:noWrap w:val="0"/>
            <w:vAlign w:val="center"/>
          </w:tcPr>
          <w:p w14:paraId="169FAB2D">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按收入性质分：</w:t>
            </w:r>
          </w:p>
        </w:tc>
        <w:tc>
          <w:tcPr>
            <w:tcW w:w="4330" w:type="dxa"/>
            <w:gridSpan w:val="4"/>
            <w:noWrap w:val="0"/>
            <w:vAlign w:val="center"/>
          </w:tcPr>
          <w:p w14:paraId="1AAC6CFE">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按支出性质分：</w:t>
            </w:r>
          </w:p>
        </w:tc>
      </w:tr>
      <w:tr w14:paraId="7F218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noWrap w:val="0"/>
            <w:vAlign w:val="center"/>
          </w:tcPr>
          <w:p w14:paraId="65715BD0">
            <w:pPr>
              <w:widowControl/>
              <w:spacing w:line="240" w:lineRule="exact"/>
              <w:jc w:val="left"/>
              <w:rPr>
                <w:rFonts w:hint="eastAsia" w:ascii="仿宋_GB2312" w:hAnsi="仿宋_GB2312" w:eastAsia="仿宋_GB2312" w:cs="仿宋_GB2312"/>
                <w:color w:val="000000"/>
                <w:sz w:val="20"/>
                <w:szCs w:val="20"/>
                <w:highlight w:val="none"/>
              </w:rPr>
            </w:pPr>
          </w:p>
        </w:tc>
        <w:tc>
          <w:tcPr>
            <w:tcW w:w="4674" w:type="dxa"/>
            <w:gridSpan w:val="4"/>
            <w:noWrap w:val="0"/>
            <w:vAlign w:val="center"/>
          </w:tcPr>
          <w:p w14:paraId="04FB672D">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xml:space="preserve">  其中：  一般公共预算：</w:t>
            </w:r>
            <w:r>
              <w:rPr>
                <w:rFonts w:hint="eastAsia" w:ascii="仿宋_GB2312" w:hAnsi="仿宋_GB2312" w:eastAsia="仿宋_GB2312" w:cs="仿宋_GB2312"/>
                <w:color w:val="000000"/>
                <w:sz w:val="20"/>
                <w:szCs w:val="20"/>
                <w:highlight w:val="none"/>
                <w:lang w:val="en-US" w:eastAsia="zh-CN"/>
              </w:rPr>
              <w:t>195.16</w:t>
            </w:r>
          </w:p>
        </w:tc>
        <w:tc>
          <w:tcPr>
            <w:tcW w:w="4330" w:type="dxa"/>
            <w:gridSpan w:val="4"/>
            <w:noWrap w:val="0"/>
            <w:vAlign w:val="center"/>
          </w:tcPr>
          <w:p w14:paraId="394A6A2A">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其中：基本支出：</w:t>
            </w:r>
            <w:r>
              <w:rPr>
                <w:rFonts w:hint="eastAsia" w:ascii="仿宋_GB2312" w:hAnsi="仿宋_GB2312" w:eastAsia="仿宋_GB2312" w:cs="仿宋_GB2312"/>
                <w:color w:val="000000"/>
                <w:sz w:val="20"/>
                <w:szCs w:val="20"/>
                <w:highlight w:val="none"/>
                <w:lang w:val="en-US" w:eastAsia="zh-CN"/>
              </w:rPr>
              <w:t>180.94</w:t>
            </w:r>
          </w:p>
        </w:tc>
      </w:tr>
      <w:tr w14:paraId="5B908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noWrap w:val="0"/>
            <w:vAlign w:val="center"/>
          </w:tcPr>
          <w:p w14:paraId="3F886809">
            <w:pPr>
              <w:widowControl/>
              <w:spacing w:line="240" w:lineRule="exact"/>
              <w:jc w:val="left"/>
              <w:rPr>
                <w:rFonts w:hint="eastAsia" w:ascii="仿宋_GB2312" w:hAnsi="仿宋_GB2312" w:eastAsia="仿宋_GB2312" w:cs="仿宋_GB2312"/>
                <w:color w:val="000000"/>
                <w:sz w:val="20"/>
                <w:szCs w:val="20"/>
                <w:highlight w:val="none"/>
              </w:rPr>
            </w:pPr>
          </w:p>
        </w:tc>
        <w:tc>
          <w:tcPr>
            <w:tcW w:w="4674" w:type="dxa"/>
            <w:gridSpan w:val="4"/>
            <w:noWrap w:val="0"/>
            <w:vAlign w:val="center"/>
          </w:tcPr>
          <w:p w14:paraId="77B13B87">
            <w:pPr>
              <w:widowControl/>
              <w:spacing w:line="240" w:lineRule="exact"/>
              <w:ind w:firstLine="800" w:firstLineChars="400"/>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政府性基金拨款：</w:t>
            </w:r>
          </w:p>
        </w:tc>
        <w:tc>
          <w:tcPr>
            <w:tcW w:w="4330" w:type="dxa"/>
            <w:gridSpan w:val="4"/>
            <w:noWrap w:val="0"/>
            <w:vAlign w:val="center"/>
          </w:tcPr>
          <w:p w14:paraId="54EFDB63">
            <w:pPr>
              <w:widowControl/>
              <w:spacing w:line="240" w:lineRule="exact"/>
              <w:ind w:firstLine="600" w:firstLineChars="300"/>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项目支出：</w:t>
            </w:r>
            <w:r>
              <w:rPr>
                <w:rFonts w:hint="eastAsia" w:ascii="仿宋_GB2312" w:hAnsi="仿宋_GB2312" w:eastAsia="仿宋_GB2312" w:cs="仿宋_GB2312"/>
                <w:color w:val="000000"/>
                <w:sz w:val="20"/>
                <w:szCs w:val="20"/>
                <w:highlight w:val="none"/>
                <w:lang w:val="en-US" w:eastAsia="zh-CN"/>
              </w:rPr>
              <w:t>76.82</w:t>
            </w:r>
          </w:p>
        </w:tc>
      </w:tr>
      <w:tr w14:paraId="3B091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noWrap w:val="0"/>
            <w:vAlign w:val="center"/>
          </w:tcPr>
          <w:p w14:paraId="4FA063DD">
            <w:pPr>
              <w:widowControl/>
              <w:spacing w:line="240" w:lineRule="exact"/>
              <w:jc w:val="left"/>
              <w:rPr>
                <w:rFonts w:hint="eastAsia" w:ascii="仿宋_GB2312" w:hAnsi="仿宋_GB2312" w:eastAsia="仿宋_GB2312" w:cs="仿宋_GB2312"/>
                <w:color w:val="000000"/>
                <w:sz w:val="20"/>
                <w:szCs w:val="20"/>
                <w:highlight w:val="none"/>
              </w:rPr>
            </w:pPr>
          </w:p>
        </w:tc>
        <w:tc>
          <w:tcPr>
            <w:tcW w:w="4674" w:type="dxa"/>
            <w:gridSpan w:val="4"/>
            <w:noWrap w:val="0"/>
            <w:vAlign w:val="center"/>
          </w:tcPr>
          <w:p w14:paraId="44161382">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纳入专户管理的非税收入拨款：</w:t>
            </w:r>
          </w:p>
        </w:tc>
        <w:tc>
          <w:tcPr>
            <w:tcW w:w="4330" w:type="dxa"/>
            <w:gridSpan w:val="4"/>
            <w:noWrap w:val="0"/>
            <w:vAlign w:val="center"/>
          </w:tcPr>
          <w:p w14:paraId="32E746C9">
            <w:pPr>
              <w:widowControl/>
              <w:spacing w:line="240" w:lineRule="exact"/>
              <w:jc w:val="left"/>
              <w:rPr>
                <w:rFonts w:hint="eastAsia" w:ascii="仿宋_GB2312" w:hAnsi="仿宋_GB2312" w:eastAsia="仿宋_GB2312" w:cs="仿宋_GB2312"/>
                <w:color w:val="000000"/>
                <w:sz w:val="20"/>
                <w:szCs w:val="20"/>
                <w:highlight w:val="none"/>
              </w:rPr>
            </w:pPr>
          </w:p>
        </w:tc>
      </w:tr>
      <w:tr w14:paraId="57143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noWrap w:val="0"/>
            <w:vAlign w:val="center"/>
          </w:tcPr>
          <w:p w14:paraId="65E144E7">
            <w:pPr>
              <w:widowControl/>
              <w:spacing w:line="240" w:lineRule="exact"/>
              <w:jc w:val="left"/>
              <w:rPr>
                <w:rFonts w:hint="eastAsia" w:ascii="仿宋_GB2312" w:hAnsi="仿宋_GB2312" w:eastAsia="仿宋_GB2312" w:cs="仿宋_GB2312"/>
                <w:color w:val="000000"/>
                <w:sz w:val="20"/>
                <w:szCs w:val="20"/>
                <w:highlight w:val="none"/>
              </w:rPr>
            </w:pPr>
          </w:p>
        </w:tc>
        <w:tc>
          <w:tcPr>
            <w:tcW w:w="4674" w:type="dxa"/>
            <w:gridSpan w:val="4"/>
            <w:noWrap w:val="0"/>
            <w:vAlign w:val="center"/>
          </w:tcPr>
          <w:p w14:paraId="7D74566E">
            <w:pPr>
              <w:widowControl/>
              <w:spacing w:line="240" w:lineRule="exact"/>
              <w:ind w:firstLine="1400" w:firstLineChars="700"/>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其他资金：</w:t>
            </w:r>
            <w:r>
              <w:rPr>
                <w:rFonts w:hint="eastAsia" w:ascii="仿宋_GB2312" w:hAnsi="仿宋_GB2312" w:eastAsia="仿宋_GB2312" w:cs="仿宋_GB2312"/>
                <w:color w:val="000000"/>
                <w:sz w:val="20"/>
                <w:szCs w:val="20"/>
                <w:highlight w:val="none"/>
                <w:lang w:val="en-US" w:eastAsia="zh-CN"/>
              </w:rPr>
              <w:t>112.00</w:t>
            </w:r>
          </w:p>
        </w:tc>
        <w:tc>
          <w:tcPr>
            <w:tcW w:w="4330" w:type="dxa"/>
            <w:gridSpan w:val="4"/>
            <w:noWrap w:val="0"/>
            <w:vAlign w:val="center"/>
          </w:tcPr>
          <w:p w14:paraId="353F38D7">
            <w:pPr>
              <w:widowControl/>
              <w:spacing w:line="240" w:lineRule="exact"/>
              <w:jc w:val="left"/>
              <w:rPr>
                <w:rFonts w:hint="eastAsia" w:ascii="仿宋_GB2312" w:hAnsi="仿宋_GB2312" w:eastAsia="仿宋_GB2312" w:cs="仿宋_GB2312"/>
                <w:color w:val="000000"/>
                <w:sz w:val="20"/>
                <w:szCs w:val="20"/>
                <w:highlight w:val="none"/>
              </w:rPr>
            </w:pPr>
          </w:p>
        </w:tc>
      </w:tr>
      <w:tr w14:paraId="53B86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restart"/>
            <w:noWrap w:val="0"/>
            <w:vAlign w:val="center"/>
          </w:tcPr>
          <w:p w14:paraId="756EC9E3">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674" w:type="dxa"/>
            <w:gridSpan w:val="4"/>
            <w:noWrap w:val="0"/>
            <w:vAlign w:val="center"/>
          </w:tcPr>
          <w:p w14:paraId="2EBF0DA9">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330" w:type="dxa"/>
            <w:gridSpan w:val="4"/>
            <w:noWrap w:val="0"/>
            <w:vAlign w:val="center"/>
          </w:tcPr>
          <w:p w14:paraId="5268FD8F">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2A6CE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noWrap w:val="0"/>
            <w:vAlign w:val="center"/>
          </w:tcPr>
          <w:p w14:paraId="6EC54C02">
            <w:pPr>
              <w:widowControl/>
              <w:spacing w:line="240" w:lineRule="exact"/>
              <w:jc w:val="left"/>
              <w:rPr>
                <w:rFonts w:hint="eastAsia" w:ascii="仿宋_GB2312" w:hAnsi="仿宋_GB2312" w:eastAsia="仿宋_GB2312" w:cs="仿宋_GB2312"/>
                <w:color w:val="000000"/>
                <w:sz w:val="20"/>
                <w:szCs w:val="20"/>
                <w:highlight w:val="none"/>
              </w:rPr>
            </w:pPr>
          </w:p>
        </w:tc>
        <w:tc>
          <w:tcPr>
            <w:tcW w:w="4674" w:type="dxa"/>
            <w:gridSpan w:val="4"/>
            <w:noWrap w:val="0"/>
            <w:vAlign w:val="center"/>
          </w:tcPr>
          <w:p w14:paraId="7E58C5AE">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lang w:val="en-US" w:eastAsia="zh-CN" w:bidi="ar-SA"/>
              </w:rPr>
              <w:t>1</w:t>
            </w:r>
            <w:bookmarkStart w:id="31" w:name="_GoBack"/>
            <w:bookmarkEnd w:id="31"/>
            <w:r>
              <w:rPr>
                <w:rFonts w:hint="eastAsia" w:ascii="仿宋_GB2312" w:hAnsi="仿宋_GB2312" w:eastAsia="仿宋_GB2312" w:cs="仿宋_GB2312"/>
                <w:color w:val="000000"/>
                <w:kern w:val="0"/>
                <w:sz w:val="20"/>
                <w:szCs w:val="20"/>
                <w:lang w:val="en-US" w:eastAsia="zh-CN" w:bidi="ar-SA"/>
              </w:rPr>
              <w:t>、完成“春风行动”“夏季攻势”“利剑行动”和“守护蓝天”四大专项生态环保工作有序开展，辖区环境质量不断改善提升，污染防治攻坚考核明显提档进位，全区未发生较大以上的环境污染事件和生态破坏事件；2、水污染质量持续改善；3、加快完成洞庭湖总磷控制与削减任务；4、打响生态保护阵地战，确保生态功能区考核稳步向好；5、加大日常环境执法，严厉打击违法行为，不断强化环境监管。</w:t>
            </w:r>
          </w:p>
        </w:tc>
        <w:tc>
          <w:tcPr>
            <w:tcW w:w="4330" w:type="dxa"/>
            <w:gridSpan w:val="4"/>
            <w:noWrap w:val="0"/>
            <w:vAlign w:val="center"/>
          </w:tcPr>
          <w:p w14:paraId="38DE617B">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全力打好蓝天保卫战。持续开展挥发有机物（VOCs）综合治理，加强VOCs有组织废气收集管控；深入开展氮氧化物、PM2.5协同管控；实施重污染天气重点行业绩效提级；积极推进秸秆禁烧及禁炮工作。</w:t>
            </w:r>
          </w:p>
          <w:p w14:paraId="1A7535E5">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全力开展碧水攻坚战。全</w:t>
            </w:r>
            <w:bookmarkStart w:id="4" w:name="OLE_LINK13"/>
            <w:r>
              <w:rPr>
                <w:rFonts w:hint="eastAsia" w:ascii="仿宋_GB2312" w:hAnsi="仿宋_GB2312" w:eastAsia="仿宋_GB2312" w:cs="仿宋_GB2312"/>
                <w:color w:val="000000"/>
                <w:kern w:val="0"/>
                <w:sz w:val="20"/>
                <w:szCs w:val="20"/>
                <w:lang w:val="en-US" w:eastAsia="zh-CN" w:bidi="ar-SA"/>
              </w:rPr>
              <w:t>面完成今年入河排污口整治任务</w:t>
            </w:r>
            <w:bookmarkEnd w:id="4"/>
            <w:r>
              <w:rPr>
                <w:rFonts w:hint="eastAsia" w:ascii="仿宋_GB2312" w:hAnsi="仿宋_GB2312" w:eastAsia="仿宋_GB2312" w:cs="仿宋_GB2312"/>
                <w:color w:val="000000"/>
                <w:kern w:val="0"/>
                <w:sz w:val="20"/>
                <w:szCs w:val="20"/>
                <w:lang w:val="en-US" w:eastAsia="zh-CN" w:bidi="ar-SA"/>
              </w:rPr>
              <w:t>。其中2024年度整治任务为4个，目前均已完成整治并销号；持续开展全区水生态环境质量监测，我分局按月度、季度对全区重点管控水域进行采样分析，了解水质状况，针对水质状况不理想的点位进行溯源分析，落实整改；开展饮用水水源地排查整治，按要求对河市镇供水一厂、二厂及湘江湘阴段屈原饮用水水源地三个饮用水水源地落实全年度现场排查与监管，共发现了3个现场问题，其中已立行立改两个，湘江湘阴段饮用水水源保护区的防护栏破损问题已完成修缮；落实集中式饮用水水源地规范化建设评估工作，对“千吨万人”、县级饮用水源地根据保护区划分报告要求开展评估工作，采集矢量数据，全面排查突出环境问题，摸清饮用水水源地规范化建设现状，形成基础设施台账底册。</w:t>
            </w:r>
          </w:p>
          <w:p w14:paraId="3CEB64B0">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_GB2312" w:hAnsi="仿宋_GB2312" w:eastAsia="仿宋_GB2312" w:cs="仿宋_GB2312"/>
                <w:color w:val="000000"/>
                <w:kern w:val="0"/>
                <w:sz w:val="20"/>
                <w:szCs w:val="20"/>
                <w:lang w:val="en-US" w:eastAsia="zh-CN" w:bidi="ar-SA"/>
              </w:rPr>
            </w:pPr>
            <w:bookmarkStart w:id="5" w:name="OLE_LINK17"/>
            <w:r>
              <w:rPr>
                <w:rFonts w:hint="eastAsia" w:ascii="仿宋_GB2312" w:hAnsi="仿宋_GB2312" w:eastAsia="仿宋_GB2312" w:cs="仿宋_GB2312"/>
                <w:color w:val="000000"/>
                <w:kern w:val="0"/>
                <w:sz w:val="20"/>
                <w:szCs w:val="20"/>
                <w:lang w:val="en-US" w:eastAsia="zh-CN" w:bidi="ar-SA"/>
              </w:rPr>
              <w:t>全力打好净土保卫战</w:t>
            </w:r>
            <w:bookmarkEnd w:id="5"/>
            <w:r>
              <w:rPr>
                <w:rFonts w:hint="eastAsia" w:ascii="仿宋_GB2312" w:hAnsi="仿宋_GB2312" w:eastAsia="仿宋_GB2312" w:cs="仿宋_GB2312"/>
                <w:color w:val="000000"/>
                <w:kern w:val="0"/>
                <w:sz w:val="20"/>
                <w:szCs w:val="20"/>
                <w:lang w:val="en-US" w:eastAsia="zh-CN" w:bidi="ar-SA"/>
              </w:rPr>
              <w:t>。在对辖区内耕地周边涉镉污染源</w:t>
            </w:r>
            <w:r>
              <w:rPr>
                <w:rFonts w:hint="default" w:ascii="仿宋_GB2312" w:hAnsi="仿宋_GB2312" w:eastAsia="仿宋_GB2312" w:cs="仿宋_GB2312"/>
                <w:color w:val="000000"/>
                <w:kern w:val="0"/>
                <w:sz w:val="20"/>
                <w:szCs w:val="20"/>
                <w:lang w:val="en-US" w:eastAsia="zh-CN" w:bidi="ar-SA"/>
              </w:rPr>
              <w:t>的两个</w:t>
            </w:r>
            <w:r>
              <w:rPr>
                <w:rFonts w:hint="eastAsia" w:ascii="仿宋_GB2312" w:hAnsi="仿宋_GB2312" w:eastAsia="仿宋_GB2312" w:cs="仿宋_GB2312"/>
                <w:color w:val="000000"/>
                <w:kern w:val="0"/>
                <w:sz w:val="20"/>
                <w:szCs w:val="20"/>
                <w:lang w:val="en-US" w:eastAsia="zh-CN" w:bidi="ar-SA"/>
              </w:rPr>
              <w:t>企业开展涉镉污染源排查中，排查了企业配套环保设施工作情况，做到了达标排放，未发现企业环境风险</w:t>
            </w:r>
            <w:r>
              <w:rPr>
                <w:rFonts w:hint="default" w:ascii="仿宋_GB2312" w:hAnsi="仿宋_GB2312" w:eastAsia="仿宋_GB2312" w:cs="仿宋_GB2312"/>
                <w:color w:val="000000"/>
                <w:kern w:val="0"/>
                <w:sz w:val="20"/>
                <w:szCs w:val="20"/>
                <w:lang w:val="en-US" w:eastAsia="zh-CN" w:bidi="ar-SA"/>
              </w:rPr>
              <w:t>问题</w:t>
            </w:r>
            <w:r>
              <w:rPr>
                <w:rFonts w:hint="eastAsia" w:ascii="仿宋_GB2312" w:hAnsi="仿宋_GB2312" w:eastAsia="仿宋_GB2312" w:cs="仿宋_GB2312"/>
                <w:color w:val="000000"/>
                <w:kern w:val="0"/>
                <w:sz w:val="20"/>
                <w:szCs w:val="20"/>
                <w:lang w:val="en-US" w:eastAsia="zh-CN" w:bidi="ar-SA"/>
              </w:rPr>
              <w:t>；在开展两个疑似污染地块土壤污染状况调查工作</w:t>
            </w:r>
            <w:r>
              <w:rPr>
                <w:rFonts w:hint="default" w:ascii="仿宋_GB2312" w:hAnsi="仿宋_GB2312" w:eastAsia="仿宋_GB2312" w:cs="仿宋_GB2312"/>
                <w:color w:val="000000"/>
                <w:kern w:val="0"/>
                <w:sz w:val="20"/>
                <w:szCs w:val="20"/>
                <w:lang w:val="en-US" w:eastAsia="zh-CN" w:bidi="ar-SA"/>
              </w:rPr>
              <w:t>中</w:t>
            </w:r>
            <w:r>
              <w:rPr>
                <w:rFonts w:hint="eastAsia" w:ascii="仿宋_GB2312" w:hAnsi="仿宋_GB2312" w:eastAsia="仿宋_GB2312" w:cs="仿宋_GB2312"/>
                <w:color w:val="000000"/>
                <w:kern w:val="0"/>
                <w:sz w:val="20"/>
                <w:szCs w:val="20"/>
                <w:lang w:val="en-US" w:eastAsia="zh-CN" w:bidi="ar-SA"/>
              </w:rPr>
              <w:t>，经三方检测机构调查，未发现环境风险。</w:t>
            </w:r>
          </w:p>
          <w:p w14:paraId="230A6951">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积极做好省厅巡察配合工作。</w:t>
            </w:r>
            <w:bookmarkStart w:id="6" w:name="OLE_LINK20"/>
            <w:r>
              <w:rPr>
                <w:rFonts w:hint="eastAsia" w:ascii="仿宋_GB2312" w:hAnsi="仿宋_GB2312" w:eastAsia="仿宋_GB2312" w:cs="仿宋_GB2312"/>
                <w:color w:val="000000"/>
                <w:kern w:val="0"/>
                <w:sz w:val="20"/>
                <w:szCs w:val="20"/>
                <w:lang w:val="en-US" w:eastAsia="zh-CN" w:bidi="ar-SA"/>
              </w:rPr>
              <w:t>对照上级巡察所列的5类23个监督重点等68个问题，通过认真梳理，比照自身情况，逐项排查，梳理出的我分局未完全整改任务18个，对照本局实际情况明确整改时间节点、阶段目标任务、倒排工期、挂图作战、定期调度，及时报送相关材料，完成“同类同改、未巡先改”整改任务。</w:t>
            </w:r>
          </w:p>
          <w:bookmarkEnd w:id="6"/>
          <w:p w14:paraId="6C42FB81">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积极做好中央、省级环保督察配合工作。成立了工作协调联络领导小组，区党委、管委先后4次开展专题研究环保督察工作，区主要领导先后8次亲临现场督查、督办，高效、有力配合了中央、省级环保督察，省级环保督察期间共接信访件3件（重复件1）、中央环保督察期间共接信访件5件，现均已办结。</w:t>
            </w:r>
          </w:p>
          <w:p w14:paraId="4B948EB3">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积极推进“夏季攻势”整改任务。根据污染防治攻坚战夏季攻势任务，我区共有21项，已全部完成整治；农村黑臭水体、农田退水“零直排”综合试点、粪污水深度处理3个任务已完成全部任务整改并销号。</w:t>
            </w:r>
          </w:p>
          <w:p w14:paraId="71508487">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lang w:val="en-US" w:eastAsia="zh-CN" w:bidi="ar-SA"/>
              </w:rPr>
              <w:t>加大生态环境违法行为查处力度。严格打击非法排污企业，累计出动执法260余人次，制作监察文书133份。在辖区内对50余家企业的执法过程中，累计处罚16家，下达行政处罚书15份，罚款103.67万元，同比增长229%，下达不予行政处罚决定书2份，免罚金额51.77万元，检查33家工业企业，整改18个问题。通过对企业的环境违法行为严抓严打，切实起到了“办理一件，警示一片”的成效。</w:t>
            </w:r>
          </w:p>
          <w:p w14:paraId="1E8F56FF">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着力开展执法专项行动。今年来共检查</w:t>
            </w:r>
            <w:r>
              <w:rPr>
                <w:rFonts w:hint="default" w:ascii="仿宋_GB2312" w:hAnsi="仿宋_GB2312" w:eastAsia="仿宋_GB2312" w:cs="仿宋_GB2312"/>
                <w:color w:val="000000"/>
                <w:kern w:val="0"/>
                <w:sz w:val="20"/>
                <w:szCs w:val="20"/>
                <w:lang w:val="en-US" w:eastAsia="zh-CN" w:bidi="ar-SA"/>
              </w:rPr>
              <w:t>9家企业，上报问题7个</w:t>
            </w:r>
            <w:r>
              <w:rPr>
                <w:rFonts w:hint="eastAsia" w:ascii="仿宋_GB2312" w:hAnsi="仿宋_GB2312" w:eastAsia="仿宋_GB2312" w:cs="仿宋_GB2312"/>
                <w:color w:val="000000"/>
                <w:kern w:val="0"/>
                <w:sz w:val="20"/>
                <w:szCs w:val="20"/>
                <w:lang w:val="en-US" w:eastAsia="zh-CN" w:bidi="ar-SA"/>
              </w:rPr>
              <w:t>，</w:t>
            </w:r>
            <w:r>
              <w:rPr>
                <w:rFonts w:hint="default" w:ascii="仿宋_GB2312" w:hAnsi="仿宋_GB2312" w:eastAsia="仿宋_GB2312" w:cs="仿宋_GB2312"/>
                <w:color w:val="000000"/>
                <w:kern w:val="0"/>
                <w:sz w:val="20"/>
                <w:szCs w:val="20"/>
                <w:lang w:val="en-US" w:eastAsia="zh-CN" w:bidi="ar-SA"/>
              </w:rPr>
              <w:t>在畜禽养殖业执法检查方面，全年共排查50家次</w:t>
            </w:r>
            <w:r>
              <w:rPr>
                <w:rFonts w:hint="eastAsia" w:ascii="仿宋_GB2312" w:hAnsi="仿宋_GB2312" w:eastAsia="仿宋_GB2312" w:cs="仿宋_GB2312"/>
                <w:color w:val="000000"/>
                <w:kern w:val="0"/>
                <w:sz w:val="20"/>
                <w:szCs w:val="20"/>
                <w:lang w:val="en-US" w:eastAsia="zh-CN" w:bidi="ar-SA"/>
              </w:rPr>
              <w:t>，</w:t>
            </w:r>
            <w:r>
              <w:rPr>
                <w:rFonts w:hint="default" w:ascii="仿宋_GB2312" w:hAnsi="仿宋_GB2312" w:eastAsia="仿宋_GB2312" w:cs="仿宋_GB2312"/>
                <w:color w:val="000000"/>
                <w:kern w:val="0"/>
                <w:sz w:val="20"/>
                <w:szCs w:val="20"/>
                <w:lang w:val="en-US" w:eastAsia="zh-CN" w:bidi="ar-SA"/>
              </w:rPr>
              <w:t>在成品油流通市场“打非治违”百日行动中，对9家加油站进行全方位排查</w:t>
            </w:r>
            <w:r>
              <w:rPr>
                <w:rFonts w:hint="eastAsia" w:ascii="仿宋_GB2312" w:hAnsi="仿宋_GB2312" w:eastAsia="仿宋_GB2312" w:cs="仿宋_GB2312"/>
                <w:color w:val="000000"/>
                <w:kern w:val="0"/>
                <w:sz w:val="20"/>
                <w:szCs w:val="20"/>
                <w:lang w:val="en-US" w:eastAsia="zh-CN" w:bidi="ar-SA"/>
              </w:rPr>
              <w:t>。</w:t>
            </w:r>
          </w:p>
          <w:p w14:paraId="173E2111">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leftChars="0" w:firstLine="0" w:firstLineChars="0"/>
              <w:jc w:val="left"/>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lang w:val="en-US" w:eastAsia="zh-CN" w:bidi="ar-SA"/>
              </w:rPr>
              <w:t>做好生态环境信访调处。今年来，我局通过各渠道接访共34余起，其中12369信访投诉4起，12345政务热线投诉件25起，现场及电话投诉5起，均已妥善处理。</w:t>
            </w:r>
          </w:p>
        </w:tc>
      </w:tr>
      <w:tr w14:paraId="6E30B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restart"/>
            <w:noWrap w:val="0"/>
            <w:vAlign w:val="center"/>
          </w:tcPr>
          <w:p w14:paraId="3587B07E">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7C7A1563">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20BF02C9">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0F03B951">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p w14:paraId="13EDE57C">
            <w:pPr>
              <w:widowControl/>
              <w:spacing w:line="240" w:lineRule="exact"/>
              <w:jc w:val="center"/>
              <w:rPr>
                <w:rFonts w:hint="eastAsia" w:ascii="仿宋_GB2312" w:hAnsi="仿宋_GB2312" w:eastAsia="仿宋_GB2312" w:cs="仿宋_GB2312"/>
                <w:color w:val="000000"/>
                <w:sz w:val="20"/>
                <w:szCs w:val="20"/>
                <w:highlight w:val="none"/>
              </w:rPr>
            </w:pPr>
          </w:p>
        </w:tc>
        <w:tc>
          <w:tcPr>
            <w:tcW w:w="1097" w:type="dxa"/>
            <w:noWrap w:val="0"/>
            <w:vAlign w:val="center"/>
          </w:tcPr>
          <w:p w14:paraId="6EB2545D">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137" w:type="dxa"/>
            <w:noWrap w:val="0"/>
            <w:vAlign w:val="center"/>
          </w:tcPr>
          <w:p w14:paraId="29C67440">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134" w:type="dxa"/>
            <w:noWrap w:val="0"/>
            <w:vAlign w:val="center"/>
          </w:tcPr>
          <w:p w14:paraId="7659474B">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306" w:type="dxa"/>
            <w:noWrap w:val="0"/>
            <w:vAlign w:val="center"/>
          </w:tcPr>
          <w:p w14:paraId="68A5EEF8">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年度指标值</w:t>
            </w:r>
          </w:p>
        </w:tc>
        <w:tc>
          <w:tcPr>
            <w:tcW w:w="1264" w:type="dxa"/>
            <w:noWrap w:val="0"/>
            <w:vAlign w:val="center"/>
          </w:tcPr>
          <w:p w14:paraId="695E3A50">
            <w:pPr>
              <w:widowControl/>
              <w:spacing w:line="240" w:lineRule="exac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实际完成值</w:t>
            </w:r>
          </w:p>
        </w:tc>
        <w:tc>
          <w:tcPr>
            <w:tcW w:w="714" w:type="dxa"/>
            <w:noWrap w:val="0"/>
            <w:vAlign w:val="center"/>
          </w:tcPr>
          <w:p w14:paraId="525F2766">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916" w:type="dxa"/>
            <w:noWrap w:val="0"/>
            <w:vAlign w:val="center"/>
          </w:tcPr>
          <w:p w14:paraId="094FA218">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36" w:type="dxa"/>
            <w:noWrap w:val="0"/>
            <w:vAlign w:val="center"/>
          </w:tcPr>
          <w:p w14:paraId="14B33D0A">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1813A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noWrap w:val="0"/>
            <w:vAlign w:val="center"/>
          </w:tcPr>
          <w:p w14:paraId="620668AA">
            <w:pPr>
              <w:spacing w:line="240" w:lineRule="exact"/>
              <w:jc w:val="left"/>
              <w:rPr>
                <w:rFonts w:hint="eastAsia" w:ascii="仿宋_GB2312" w:hAnsi="仿宋_GB2312" w:eastAsia="仿宋_GB2312" w:cs="仿宋_GB2312"/>
                <w:color w:val="000000"/>
                <w:sz w:val="20"/>
                <w:szCs w:val="20"/>
                <w:highlight w:val="none"/>
              </w:rPr>
            </w:pPr>
          </w:p>
        </w:tc>
        <w:tc>
          <w:tcPr>
            <w:tcW w:w="1097" w:type="dxa"/>
            <w:vMerge w:val="restart"/>
            <w:noWrap w:val="0"/>
            <w:vAlign w:val="center"/>
          </w:tcPr>
          <w:p w14:paraId="1FEE93F1">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2939EBBB">
            <w:pPr>
              <w:widowControl/>
              <w:spacing w:line="240" w:lineRule="exact"/>
              <w:jc w:val="center"/>
              <w:rPr>
                <w:rFonts w:hint="eastAsia" w:ascii="仿宋_GB2312" w:hAnsi="仿宋_GB2312" w:eastAsia="仿宋_GB2312" w:cs="仿宋_GB2312"/>
                <w:color w:val="000000"/>
                <w:sz w:val="20"/>
                <w:szCs w:val="20"/>
                <w:highlight w:val="none"/>
              </w:rPr>
            </w:pPr>
          </w:p>
          <w:p w14:paraId="7E522E1A">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r>
              <w:rPr>
                <w:rFonts w:hint="eastAsia" w:ascii="仿宋_GB2312" w:hAnsi="仿宋_GB2312" w:eastAsia="仿宋_GB2312" w:cs="仿宋_GB2312"/>
                <w:color w:val="000000"/>
                <w:sz w:val="20"/>
                <w:szCs w:val="20"/>
                <w:highlight w:val="none"/>
                <w:lang w:val="en-US" w:eastAsia="zh-CN"/>
              </w:rPr>
              <w:t>25</w:t>
            </w:r>
            <w:r>
              <w:rPr>
                <w:rFonts w:hint="eastAsia" w:ascii="仿宋_GB2312" w:hAnsi="仿宋_GB2312" w:eastAsia="仿宋_GB2312" w:cs="仿宋_GB2312"/>
                <w:color w:val="000000"/>
                <w:sz w:val="20"/>
                <w:szCs w:val="20"/>
                <w:highlight w:val="none"/>
              </w:rPr>
              <w:t>分)</w:t>
            </w:r>
          </w:p>
        </w:tc>
        <w:tc>
          <w:tcPr>
            <w:tcW w:w="1137" w:type="dxa"/>
            <w:vMerge w:val="restart"/>
            <w:noWrap w:val="0"/>
            <w:vAlign w:val="center"/>
          </w:tcPr>
          <w:p w14:paraId="66BE7EAF">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134" w:type="dxa"/>
            <w:noWrap w:val="0"/>
            <w:vAlign w:val="center"/>
          </w:tcPr>
          <w:p w14:paraId="25645A13">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完成罚没款征缴任务</w:t>
            </w:r>
          </w:p>
        </w:tc>
        <w:tc>
          <w:tcPr>
            <w:tcW w:w="1306" w:type="dxa"/>
            <w:noWrap w:val="0"/>
            <w:vAlign w:val="center"/>
          </w:tcPr>
          <w:p w14:paraId="651A00F2">
            <w:pPr>
              <w:widowControl/>
              <w:spacing w:line="240" w:lineRule="exact"/>
              <w:jc w:val="center"/>
              <w:rPr>
                <w:rFonts w:hint="default" w:ascii="仿宋_GB2312" w:hAnsi="仿宋_GB2312" w:eastAsia="仿宋_GB2312" w:cs="仿宋_GB2312"/>
                <w:color w:val="000000"/>
                <w:kern w:val="0"/>
                <w:sz w:val="20"/>
                <w:szCs w:val="20"/>
                <w:lang w:val="en-US" w:eastAsia="zh-CN" w:bidi="ar-SA"/>
              </w:rPr>
            </w:pPr>
            <w:bookmarkStart w:id="7" w:name="OLE_LINK3"/>
            <w:r>
              <w:rPr>
                <w:rFonts w:hint="eastAsia" w:ascii="仿宋_GB2312" w:hAnsi="仿宋_GB2312" w:eastAsia="仿宋_GB2312" w:cs="仿宋_GB2312"/>
                <w:color w:val="000000"/>
                <w:sz w:val="20"/>
                <w:szCs w:val="20"/>
                <w:lang w:val="en-US" w:eastAsia="zh-CN"/>
              </w:rPr>
              <w:t>≥12</w:t>
            </w:r>
            <w:bookmarkEnd w:id="7"/>
          </w:p>
        </w:tc>
        <w:tc>
          <w:tcPr>
            <w:tcW w:w="1264" w:type="dxa"/>
            <w:noWrap w:val="0"/>
            <w:vAlign w:val="center"/>
          </w:tcPr>
          <w:p w14:paraId="6C571DC6">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100%</w:t>
            </w:r>
          </w:p>
        </w:tc>
        <w:tc>
          <w:tcPr>
            <w:tcW w:w="714" w:type="dxa"/>
            <w:noWrap w:val="0"/>
            <w:vAlign w:val="center"/>
          </w:tcPr>
          <w:p w14:paraId="55FE3F29">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w:t>
            </w:r>
          </w:p>
        </w:tc>
        <w:tc>
          <w:tcPr>
            <w:tcW w:w="916" w:type="dxa"/>
            <w:noWrap w:val="0"/>
            <w:vAlign w:val="center"/>
          </w:tcPr>
          <w:p w14:paraId="335A0D6D">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w:t>
            </w:r>
          </w:p>
        </w:tc>
        <w:tc>
          <w:tcPr>
            <w:tcW w:w="1436" w:type="dxa"/>
            <w:noWrap w:val="0"/>
            <w:vAlign w:val="center"/>
          </w:tcPr>
          <w:p w14:paraId="48F12FA8">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p>
        </w:tc>
      </w:tr>
      <w:tr w14:paraId="603CC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noWrap w:val="0"/>
            <w:vAlign w:val="center"/>
          </w:tcPr>
          <w:p w14:paraId="00E6B8BF">
            <w:pPr>
              <w:spacing w:line="240" w:lineRule="exact"/>
              <w:jc w:val="left"/>
              <w:rPr>
                <w:rFonts w:hint="eastAsia" w:ascii="仿宋_GB2312" w:hAnsi="仿宋_GB2312" w:eastAsia="仿宋_GB2312" w:cs="仿宋_GB2312"/>
                <w:color w:val="000000"/>
                <w:sz w:val="20"/>
                <w:szCs w:val="20"/>
                <w:highlight w:val="none"/>
              </w:rPr>
            </w:pPr>
          </w:p>
        </w:tc>
        <w:tc>
          <w:tcPr>
            <w:tcW w:w="1097" w:type="dxa"/>
            <w:vMerge w:val="continue"/>
            <w:noWrap w:val="0"/>
            <w:vAlign w:val="center"/>
          </w:tcPr>
          <w:p w14:paraId="324279FA">
            <w:pPr>
              <w:spacing w:line="240" w:lineRule="exact"/>
              <w:jc w:val="left"/>
              <w:rPr>
                <w:rFonts w:hint="eastAsia" w:ascii="仿宋_GB2312" w:hAnsi="仿宋_GB2312" w:eastAsia="仿宋_GB2312" w:cs="仿宋_GB2312"/>
                <w:color w:val="000000"/>
                <w:sz w:val="20"/>
                <w:szCs w:val="20"/>
                <w:highlight w:val="none"/>
              </w:rPr>
            </w:pPr>
          </w:p>
        </w:tc>
        <w:tc>
          <w:tcPr>
            <w:tcW w:w="1137" w:type="dxa"/>
            <w:vMerge w:val="continue"/>
            <w:noWrap w:val="0"/>
            <w:vAlign w:val="center"/>
          </w:tcPr>
          <w:p w14:paraId="3EFD37F4">
            <w:pPr>
              <w:spacing w:line="240" w:lineRule="exact"/>
              <w:jc w:val="center"/>
              <w:rPr>
                <w:rFonts w:hint="eastAsia" w:ascii="仿宋_GB2312" w:hAnsi="仿宋_GB2312" w:eastAsia="仿宋_GB2312" w:cs="仿宋_GB2312"/>
                <w:color w:val="000000"/>
                <w:sz w:val="20"/>
                <w:szCs w:val="20"/>
                <w:highlight w:val="none"/>
              </w:rPr>
            </w:pPr>
          </w:p>
        </w:tc>
        <w:tc>
          <w:tcPr>
            <w:tcW w:w="1134" w:type="dxa"/>
            <w:noWrap w:val="0"/>
            <w:vAlign w:val="center"/>
          </w:tcPr>
          <w:p w14:paraId="20D28C00">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highlight w:val="none"/>
                <w:lang w:eastAsia="zh-CN"/>
              </w:rPr>
              <w:t>重点监测重点污染企业</w:t>
            </w:r>
          </w:p>
        </w:tc>
        <w:tc>
          <w:tcPr>
            <w:tcW w:w="1306" w:type="dxa"/>
            <w:noWrap w:val="0"/>
            <w:vAlign w:val="center"/>
          </w:tcPr>
          <w:p w14:paraId="528F0491">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lang w:val="en-US" w:eastAsia="zh-CN"/>
              </w:rPr>
              <w:t>≥4</w:t>
            </w:r>
          </w:p>
        </w:tc>
        <w:tc>
          <w:tcPr>
            <w:tcW w:w="1264" w:type="dxa"/>
            <w:noWrap w:val="0"/>
            <w:vAlign w:val="center"/>
          </w:tcPr>
          <w:p w14:paraId="637367E0">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714" w:type="dxa"/>
            <w:noWrap w:val="0"/>
            <w:vAlign w:val="center"/>
          </w:tcPr>
          <w:p w14:paraId="1C7D334F">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916" w:type="dxa"/>
            <w:noWrap w:val="0"/>
            <w:vAlign w:val="center"/>
          </w:tcPr>
          <w:p w14:paraId="3CDBBA15">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w:t>
            </w:r>
          </w:p>
        </w:tc>
        <w:tc>
          <w:tcPr>
            <w:tcW w:w="1436" w:type="dxa"/>
            <w:noWrap w:val="0"/>
            <w:vAlign w:val="center"/>
          </w:tcPr>
          <w:p w14:paraId="18B29678">
            <w:pPr>
              <w:widowControl/>
              <w:spacing w:line="240" w:lineRule="exact"/>
              <w:jc w:val="left"/>
              <w:rPr>
                <w:rFonts w:hint="eastAsia" w:ascii="仿宋_GB2312" w:hAnsi="仿宋_GB2312" w:eastAsia="仿宋_GB2312" w:cs="仿宋_GB2312"/>
                <w:color w:val="000000"/>
                <w:sz w:val="20"/>
                <w:szCs w:val="20"/>
                <w:highlight w:val="none"/>
              </w:rPr>
            </w:pPr>
          </w:p>
        </w:tc>
      </w:tr>
      <w:tr w14:paraId="36714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noWrap w:val="0"/>
            <w:vAlign w:val="center"/>
          </w:tcPr>
          <w:p w14:paraId="5D32D6DC">
            <w:pPr>
              <w:spacing w:line="240" w:lineRule="exact"/>
              <w:jc w:val="left"/>
              <w:rPr>
                <w:rFonts w:hint="eastAsia" w:ascii="仿宋_GB2312" w:hAnsi="仿宋_GB2312" w:eastAsia="仿宋_GB2312" w:cs="仿宋_GB2312"/>
                <w:color w:val="000000"/>
                <w:sz w:val="20"/>
                <w:szCs w:val="20"/>
                <w:highlight w:val="none"/>
              </w:rPr>
            </w:pPr>
          </w:p>
        </w:tc>
        <w:tc>
          <w:tcPr>
            <w:tcW w:w="1097" w:type="dxa"/>
            <w:vMerge w:val="continue"/>
            <w:noWrap w:val="0"/>
            <w:vAlign w:val="center"/>
          </w:tcPr>
          <w:p w14:paraId="3D2299DF">
            <w:pPr>
              <w:spacing w:line="240" w:lineRule="exact"/>
              <w:jc w:val="left"/>
              <w:rPr>
                <w:rFonts w:hint="eastAsia" w:ascii="仿宋_GB2312" w:hAnsi="仿宋_GB2312" w:eastAsia="仿宋_GB2312" w:cs="仿宋_GB2312"/>
                <w:color w:val="000000"/>
                <w:sz w:val="20"/>
                <w:szCs w:val="20"/>
                <w:highlight w:val="none"/>
              </w:rPr>
            </w:pPr>
          </w:p>
        </w:tc>
        <w:tc>
          <w:tcPr>
            <w:tcW w:w="1137" w:type="dxa"/>
            <w:vMerge w:val="restart"/>
            <w:noWrap w:val="0"/>
            <w:vAlign w:val="center"/>
          </w:tcPr>
          <w:p w14:paraId="5B6500A7">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134" w:type="dxa"/>
            <w:shd w:val="clear" w:color="auto" w:fill="auto"/>
            <w:noWrap w:val="0"/>
            <w:vAlign w:val="center"/>
          </w:tcPr>
          <w:p w14:paraId="5B3011B2">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highlight w:val="none"/>
                <w:lang w:eastAsia="zh-CN"/>
              </w:rPr>
              <w:t>水环境质量达标</w:t>
            </w:r>
          </w:p>
        </w:tc>
        <w:tc>
          <w:tcPr>
            <w:tcW w:w="1306" w:type="dxa"/>
            <w:shd w:val="clear" w:color="auto" w:fill="auto"/>
            <w:noWrap w:val="0"/>
            <w:vAlign w:val="center"/>
          </w:tcPr>
          <w:p w14:paraId="31DA7770">
            <w:pPr>
              <w:widowControl/>
              <w:spacing w:line="240" w:lineRule="exact"/>
              <w:ind w:firstLine="200" w:firstLineChars="100"/>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1264" w:type="dxa"/>
            <w:shd w:val="clear" w:color="auto" w:fill="auto"/>
            <w:noWrap w:val="0"/>
            <w:vAlign w:val="center"/>
          </w:tcPr>
          <w:p w14:paraId="76F3870B">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714" w:type="dxa"/>
            <w:shd w:val="clear" w:color="auto" w:fill="auto"/>
            <w:noWrap w:val="0"/>
            <w:vAlign w:val="center"/>
          </w:tcPr>
          <w:p w14:paraId="264383B7">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w:t>
            </w:r>
          </w:p>
        </w:tc>
        <w:tc>
          <w:tcPr>
            <w:tcW w:w="916" w:type="dxa"/>
            <w:shd w:val="clear" w:color="auto" w:fill="auto"/>
            <w:noWrap w:val="0"/>
            <w:vAlign w:val="center"/>
          </w:tcPr>
          <w:p w14:paraId="190A16EA">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w:t>
            </w:r>
          </w:p>
        </w:tc>
        <w:tc>
          <w:tcPr>
            <w:tcW w:w="1436" w:type="dxa"/>
            <w:noWrap w:val="0"/>
            <w:vAlign w:val="center"/>
          </w:tcPr>
          <w:p w14:paraId="221DDC02">
            <w:pPr>
              <w:widowControl/>
              <w:spacing w:line="240" w:lineRule="exact"/>
              <w:jc w:val="left"/>
              <w:rPr>
                <w:rFonts w:hint="eastAsia" w:ascii="仿宋_GB2312" w:hAnsi="仿宋_GB2312" w:eastAsia="仿宋_GB2312" w:cs="仿宋_GB2312"/>
                <w:color w:val="000000"/>
                <w:sz w:val="20"/>
                <w:szCs w:val="20"/>
                <w:highlight w:val="none"/>
                <w:lang w:val="en-US" w:eastAsia="zh-CN"/>
              </w:rPr>
            </w:pPr>
          </w:p>
        </w:tc>
      </w:tr>
      <w:tr w14:paraId="634C7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noWrap w:val="0"/>
            <w:vAlign w:val="center"/>
          </w:tcPr>
          <w:p w14:paraId="2895B17A">
            <w:pPr>
              <w:spacing w:line="240" w:lineRule="exact"/>
              <w:jc w:val="left"/>
              <w:rPr>
                <w:rFonts w:hint="eastAsia" w:ascii="仿宋_GB2312" w:hAnsi="仿宋_GB2312" w:eastAsia="仿宋_GB2312" w:cs="仿宋_GB2312"/>
                <w:color w:val="000000"/>
                <w:sz w:val="20"/>
                <w:szCs w:val="20"/>
                <w:highlight w:val="none"/>
              </w:rPr>
            </w:pPr>
          </w:p>
        </w:tc>
        <w:tc>
          <w:tcPr>
            <w:tcW w:w="1097" w:type="dxa"/>
            <w:vMerge w:val="continue"/>
            <w:noWrap w:val="0"/>
            <w:vAlign w:val="center"/>
          </w:tcPr>
          <w:p w14:paraId="57CD0F3A">
            <w:pPr>
              <w:spacing w:line="240" w:lineRule="exact"/>
              <w:jc w:val="left"/>
              <w:rPr>
                <w:rFonts w:hint="eastAsia" w:ascii="仿宋_GB2312" w:hAnsi="仿宋_GB2312" w:eastAsia="仿宋_GB2312" w:cs="仿宋_GB2312"/>
                <w:color w:val="000000"/>
                <w:sz w:val="20"/>
                <w:szCs w:val="20"/>
                <w:highlight w:val="none"/>
              </w:rPr>
            </w:pPr>
          </w:p>
        </w:tc>
        <w:tc>
          <w:tcPr>
            <w:tcW w:w="1137" w:type="dxa"/>
            <w:vMerge w:val="continue"/>
            <w:noWrap w:val="0"/>
            <w:vAlign w:val="center"/>
          </w:tcPr>
          <w:p w14:paraId="77A3C1E4">
            <w:pPr>
              <w:widowControl/>
              <w:spacing w:line="240" w:lineRule="exact"/>
              <w:jc w:val="center"/>
              <w:rPr>
                <w:rFonts w:hint="eastAsia" w:ascii="仿宋_GB2312" w:hAnsi="仿宋_GB2312" w:eastAsia="仿宋_GB2312" w:cs="仿宋_GB2312"/>
                <w:color w:val="000000"/>
                <w:sz w:val="20"/>
                <w:szCs w:val="20"/>
                <w:highlight w:val="none"/>
              </w:rPr>
            </w:pPr>
          </w:p>
        </w:tc>
        <w:tc>
          <w:tcPr>
            <w:tcW w:w="1134" w:type="dxa"/>
            <w:shd w:val="clear" w:color="auto" w:fill="auto"/>
            <w:noWrap w:val="0"/>
            <w:vAlign w:val="center"/>
          </w:tcPr>
          <w:p w14:paraId="0CC89554">
            <w:pPr>
              <w:widowControl/>
              <w:spacing w:line="240" w:lineRule="exact"/>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空气环境质量达标</w:t>
            </w:r>
          </w:p>
        </w:tc>
        <w:tc>
          <w:tcPr>
            <w:tcW w:w="1306" w:type="dxa"/>
            <w:shd w:val="clear" w:color="auto" w:fill="auto"/>
            <w:noWrap w:val="0"/>
            <w:vAlign w:val="center"/>
          </w:tcPr>
          <w:p w14:paraId="6FF41186">
            <w:pPr>
              <w:widowControl/>
              <w:spacing w:line="240" w:lineRule="exact"/>
              <w:ind w:firstLine="200" w:firstLineChars="100"/>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≥90%</w:t>
            </w:r>
          </w:p>
        </w:tc>
        <w:tc>
          <w:tcPr>
            <w:tcW w:w="1264" w:type="dxa"/>
            <w:shd w:val="clear" w:color="auto" w:fill="auto"/>
            <w:noWrap w:val="0"/>
            <w:vAlign w:val="center"/>
          </w:tcPr>
          <w:p w14:paraId="3D32F64B">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95%</w:t>
            </w:r>
          </w:p>
        </w:tc>
        <w:tc>
          <w:tcPr>
            <w:tcW w:w="714" w:type="dxa"/>
            <w:shd w:val="clear" w:color="auto" w:fill="auto"/>
            <w:noWrap w:val="0"/>
            <w:vAlign w:val="center"/>
          </w:tcPr>
          <w:p w14:paraId="6C0F140B">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w:t>
            </w:r>
          </w:p>
        </w:tc>
        <w:tc>
          <w:tcPr>
            <w:tcW w:w="916" w:type="dxa"/>
            <w:shd w:val="clear" w:color="auto" w:fill="auto"/>
            <w:noWrap w:val="0"/>
            <w:vAlign w:val="center"/>
          </w:tcPr>
          <w:p w14:paraId="03948F1B">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w:t>
            </w:r>
          </w:p>
        </w:tc>
        <w:tc>
          <w:tcPr>
            <w:tcW w:w="1436" w:type="dxa"/>
            <w:noWrap w:val="0"/>
            <w:vAlign w:val="center"/>
          </w:tcPr>
          <w:p w14:paraId="6D62A20F">
            <w:pPr>
              <w:widowControl/>
              <w:spacing w:line="240" w:lineRule="exact"/>
              <w:jc w:val="left"/>
              <w:rPr>
                <w:rFonts w:hint="eastAsia" w:ascii="仿宋_GB2312" w:hAnsi="仿宋_GB2312" w:eastAsia="仿宋_GB2312" w:cs="仿宋_GB2312"/>
                <w:color w:val="000000"/>
                <w:sz w:val="20"/>
                <w:szCs w:val="20"/>
                <w:highlight w:val="none"/>
              </w:rPr>
            </w:pPr>
          </w:p>
        </w:tc>
      </w:tr>
      <w:tr w14:paraId="2A61A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noWrap w:val="0"/>
            <w:vAlign w:val="center"/>
          </w:tcPr>
          <w:p w14:paraId="2B7674A9">
            <w:pPr>
              <w:spacing w:line="240" w:lineRule="exact"/>
              <w:jc w:val="left"/>
              <w:rPr>
                <w:rFonts w:hint="eastAsia" w:ascii="仿宋_GB2312" w:hAnsi="仿宋_GB2312" w:eastAsia="仿宋_GB2312" w:cs="仿宋_GB2312"/>
                <w:color w:val="000000"/>
                <w:sz w:val="20"/>
                <w:szCs w:val="20"/>
                <w:highlight w:val="none"/>
              </w:rPr>
            </w:pPr>
          </w:p>
        </w:tc>
        <w:tc>
          <w:tcPr>
            <w:tcW w:w="1097" w:type="dxa"/>
            <w:vMerge w:val="continue"/>
            <w:noWrap w:val="0"/>
            <w:vAlign w:val="center"/>
          </w:tcPr>
          <w:p w14:paraId="712ED436">
            <w:pPr>
              <w:spacing w:line="240" w:lineRule="exact"/>
              <w:jc w:val="left"/>
              <w:rPr>
                <w:rFonts w:hint="eastAsia" w:ascii="仿宋_GB2312" w:hAnsi="仿宋_GB2312" w:eastAsia="仿宋_GB2312" w:cs="仿宋_GB2312"/>
                <w:color w:val="000000"/>
                <w:sz w:val="20"/>
                <w:szCs w:val="20"/>
                <w:highlight w:val="none"/>
              </w:rPr>
            </w:pPr>
          </w:p>
        </w:tc>
        <w:tc>
          <w:tcPr>
            <w:tcW w:w="1137" w:type="dxa"/>
            <w:noWrap w:val="0"/>
            <w:vAlign w:val="center"/>
          </w:tcPr>
          <w:p w14:paraId="04EECA03">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134" w:type="dxa"/>
            <w:shd w:val="clear" w:color="auto" w:fill="auto"/>
            <w:noWrap w:val="0"/>
            <w:vAlign w:val="center"/>
          </w:tcPr>
          <w:p w14:paraId="62F467C0">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按时完成年度总目标</w:t>
            </w:r>
          </w:p>
        </w:tc>
        <w:tc>
          <w:tcPr>
            <w:tcW w:w="1306" w:type="dxa"/>
            <w:shd w:val="clear" w:color="auto" w:fill="auto"/>
            <w:noWrap w:val="0"/>
            <w:vAlign w:val="center"/>
          </w:tcPr>
          <w:p w14:paraId="484BCFCE">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202</w:t>
            </w:r>
            <w:r>
              <w:rPr>
                <w:rFonts w:hint="eastAsia" w:ascii="仿宋_GB2312" w:hAnsi="仿宋_GB2312" w:eastAsia="仿宋_GB2312" w:cs="仿宋_GB2312"/>
                <w:color w:val="000000"/>
                <w:sz w:val="20"/>
                <w:szCs w:val="20"/>
                <w:lang w:val="en-US" w:eastAsia="zh-CN"/>
              </w:rPr>
              <w:t>4</w:t>
            </w:r>
            <w:r>
              <w:rPr>
                <w:rFonts w:hint="eastAsia" w:ascii="仿宋_GB2312" w:hAnsi="仿宋_GB2312" w:eastAsia="仿宋_GB2312" w:cs="仿宋_GB2312"/>
                <w:color w:val="000000"/>
                <w:sz w:val="20"/>
                <w:szCs w:val="20"/>
              </w:rPr>
              <w:t>年</w:t>
            </w:r>
          </w:p>
        </w:tc>
        <w:tc>
          <w:tcPr>
            <w:tcW w:w="1264" w:type="dxa"/>
            <w:shd w:val="clear" w:color="auto" w:fill="auto"/>
            <w:noWrap w:val="0"/>
            <w:vAlign w:val="center"/>
          </w:tcPr>
          <w:p w14:paraId="379F680F">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202</w:t>
            </w:r>
            <w:r>
              <w:rPr>
                <w:rFonts w:hint="eastAsia" w:ascii="仿宋_GB2312" w:hAnsi="仿宋_GB2312" w:eastAsia="仿宋_GB2312" w:cs="仿宋_GB2312"/>
                <w:color w:val="000000"/>
                <w:sz w:val="20"/>
                <w:szCs w:val="20"/>
                <w:lang w:val="en-US" w:eastAsia="zh-CN"/>
              </w:rPr>
              <w:t>4</w:t>
            </w:r>
            <w:r>
              <w:rPr>
                <w:rFonts w:hint="eastAsia" w:ascii="仿宋_GB2312" w:hAnsi="仿宋_GB2312" w:eastAsia="仿宋_GB2312" w:cs="仿宋_GB2312"/>
                <w:color w:val="000000"/>
                <w:sz w:val="20"/>
                <w:szCs w:val="20"/>
              </w:rPr>
              <w:t>年</w:t>
            </w:r>
          </w:p>
        </w:tc>
        <w:tc>
          <w:tcPr>
            <w:tcW w:w="714" w:type="dxa"/>
            <w:shd w:val="clear" w:color="auto" w:fill="auto"/>
            <w:noWrap w:val="0"/>
            <w:vAlign w:val="center"/>
          </w:tcPr>
          <w:p w14:paraId="481A40C7">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w:t>
            </w:r>
          </w:p>
        </w:tc>
        <w:tc>
          <w:tcPr>
            <w:tcW w:w="916" w:type="dxa"/>
            <w:shd w:val="clear" w:color="auto" w:fill="auto"/>
            <w:noWrap w:val="0"/>
            <w:vAlign w:val="center"/>
          </w:tcPr>
          <w:p w14:paraId="62868B54">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w:t>
            </w:r>
          </w:p>
        </w:tc>
        <w:tc>
          <w:tcPr>
            <w:tcW w:w="1436" w:type="dxa"/>
            <w:noWrap w:val="0"/>
            <w:vAlign w:val="center"/>
          </w:tcPr>
          <w:p w14:paraId="081CC94C">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14:paraId="5A7B05C1">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p>
        </w:tc>
      </w:tr>
      <w:tr w14:paraId="22DA0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noWrap w:val="0"/>
            <w:vAlign w:val="center"/>
          </w:tcPr>
          <w:p w14:paraId="423952D5">
            <w:pPr>
              <w:spacing w:line="240" w:lineRule="exact"/>
              <w:jc w:val="left"/>
              <w:rPr>
                <w:rFonts w:hint="eastAsia" w:ascii="仿宋_GB2312" w:hAnsi="仿宋_GB2312" w:eastAsia="仿宋_GB2312" w:cs="仿宋_GB2312"/>
                <w:color w:val="000000"/>
                <w:sz w:val="20"/>
                <w:szCs w:val="20"/>
                <w:highlight w:val="none"/>
              </w:rPr>
            </w:pPr>
          </w:p>
        </w:tc>
        <w:tc>
          <w:tcPr>
            <w:tcW w:w="1097" w:type="dxa"/>
            <w:vMerge w:val="restart"/>
            <w:noWrap w:val="0"/>
            <w:vAlign w:val="center"/>
          </w:tcPr>
          <w:p w14:paraId="0CD3043D">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7E655288">
            <w:pPr>
              <w:widowControl/>
              <w:spacing w:line="240" w:lineRule="exact"/>
              <w:jc w:val="left"/>
              <w:rPr>
                <w:rFonts w:hint="eastAsia" w:ascii="仿宋_GB2312" w:hAnsi="仿宋_GB2312" w:eastAsia="仿宋_GB2312" w:cs="仿宋_GB2312"/>
                <w:color w:val="000000"/>
                <w:sz w:val="20"/>
                <w:szCs w:val="20"/>
                <w:highlight w:val="none"/>
              </w:rPr>
            </w:pPr>
          </w:p>
          <w:p w14:paraId="1AA0CA6C">
            <w:pPr>
              <w:widowControl/>
              <w:spacing w:line="240" w:lineRule="exact"/>
              <w:jc w:val="left"/>
              <w:rPr>
                <w:rFonts w:hint="eastAsia" w:ascii="仿宋_GB2312" w:hAnsi="仿宋_GB2312" w:eastAsia="仿宋_GB2312" w:cs="仿宋_GB2312"/>
                <w:color w:val="000000"/>
                <w:sz w:val="20"/>
                <w:szCs w:val="20"/>
                <w:highlight w:val="none"/>
              </w:rPr>
            </w:pPr>
            <w:bookmarkStart w:id="8" w:name="OLE_LINK4"/>
            <w:r>
              <w:rPr>
                <w:rFonts w:hint="eastAsia" w:ascii="仿宋_GB2312" w:hAnsi="仿宋_GB2312" w:eastAsia="仿宋_GB2312" w:cs="仿宋_GB2312"/>
                <w:color w:val="000000"/>
                <w:sz w:val="20"/>
                <w:szCs w:val="20"/>
                <w:highlight w:val="none"/>
              </w:rPr>
              <w:t>（</w:t>
            </w:r>
            <w:r>
              <w:rPr>
                <w:rFonts w:hint="eastAsia" w:ascii="仿宋_GB2312" w:hAnsi="仿宋_GB2312" w:eastAsia="仿宋_GB2312" w:cs="仿宋_GB2312"/>
                <w:color w:val="000000"/>
                <w:sz w:val="20"/>
                <w:szCs w:val="20"/>
                <w:highlight w:val="none"/>
                <w:lang w:val="en-US" w:eastAsia="zh-CN"/>
              </w:rPr>
              <w:t>25</w:t>
            </w:r>
            <w:r>
              <w:rPr>
                <w:rFonts w:hint="eastAsia" w:ascii="仿宋_GB2312" w:hAnsi="仿宋_GB2312" w:eastAsia="仿宋_GB2312" w:cs="仿宋_GB2312"/>
                <w:color w:val="000000"/>
                <w:sz w:val="20"/>
                <w:szCs w:val="20"/>
                <w:highlight w:val="none"/>
              </w:rPr>
              <w:t>分）</w:t>
            </w:r>
          </w:p>
          <w:bookmarkEnd w:id="8"/>
          <w:p w14:paraId="125A177D">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7" w:type="dxa"/>
            <w:noWrap w:val="0"/>
            <w:vAlign w:val="center"/>
          </w:tcPr>
          <w:p w14:paraId="54E4E006">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经济效益指标</w:t>
            </w:r>
          </w:p>
        </w:tc>
        <w:tc>
          <w:tcPr>
            <w:tcW w:w="1134" w:type="dxa"/>
            <w:noWrap w:val="0"/>
            <w:vAlign w:val="center"/>
          </w:tcPr>
          <w:p w14:paraId="6DAD2905">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促进经济发展</w:t>
            </w:r>
          </w:p>
        </w:tc>
        <w:tc>
          <w:tcPr>
            <w:tcW w:w="1306" w:type="dxa"/>
            <w:noWrap w:val="0"/>
            <w:vAlign w:val="center"/>
          </w:tcPr>
          <w:p w14:paraId="28C10BDA">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经济平稳发展</w:t>
            </w:r>
          </w:p>
        </w:tc>
        <w:tc>
          <w:tcPr>
            <w:tcW w:w="1264" w:type="dxa"/>
            <w:noWrap w:val="0"/>
            <w:vAlign w:val="center"/>
          </w:tcPr>
          <w:p w14:paraId="28983EB4">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经济平稳发展</w:t>
            </w:r>
          </w:p>
        </w:tc>
        <w:tc>
          <w:tcPr>
            <w:tcW w:w="714" w:type="dxa"/>
            <w:shd w:val="clear" w:color="auto" w:fill="auto"/>
            <w:noWrap w:val="0"/>
            <w:vAlign w:val="center"/>
          </w:tcPr>
          <w:p w14:paraId="0F2A6035">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w:t>
            </w:r>
          </w:p>
        </w:tc>
        <w:tc>
          <w:tcPr>
            <w:tcW w:w="916" w:type="dxa"/>
            <w:noWrap w:val="0"/>
            <w:vAlign w:val="center"/>
          </w:tcPr>
          <w:p w14:paraId="4390472C">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w:t>
            </w:r>
          </w:p>
        </w:tc>
        <w:tc>
          <w:tcPr>
            <w:tcW w:w="1436" w:type="dxa"/>
            <w:noWrap w:val="0"/>
            <w:vAlign w:val="center"/>
          </w:tcPr>
          <w:p w14:paraId="09455B26">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E311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noWrap w:val="0"/>
            <w:vAlign w:val="center"/>
          </w:tcPr>
          <w:p w14:paraId="2576D20B">
            <w:pPr>
              <w:spacing w:line="240" w:lineRule="exact"/>
              <w:jc w:val="left"/>
              <w:rPr>
                <w:rFonts w:hint="eastAsia" w:ascii="仿宋_GB2312" w:hAnsi="仿宋_GB2312" w:eastAsia="仿宋_GB2312" w:cs="仿宋_GB2312"/>
                <w:color w:val="000000"/>
                <w:sz w:val="20"/>
                <w:szCs w:val="20"/>
                <w:highlight w:val="none"/>
              </w:rPr>
            </w:pPr>
          </w:p>
        </w:tc>
        <w:tc>
          <w:tcPr>
            <w:tcW w:w="1097" w:type="dxa"/>
            <w:vMerge w:val="continue"/>
            <w:noWrap w:val="0"/>
            <w:vAlign w:val="center"/>
          </w:tcPr>
          <w:p w14:paraId="43C14A53">
            <w:pPr>
              <w:spacing w:line="240" w:lineRule="exact"/>
              <w:jc w:val="left"/>
              <w:rPr>
                <w:rFonts w:hint="eastAsia" w:ascii="仿宋_GB2312" w:hAnsi="仿宋_GB2312" w:eastAsia="仿宋_GB2312" w:cs="仿宋_GB2312"/>
                <w:color w:val="000000"/>
                <w:sz w:val="20"/>
                <w:szCs w:val="20"/>
                <w:highlight w:val="none"/>
              </w:rPr>
            </w:pPr>
          </w:p>
        </w:tc>
        <w:tc>
          <w:tcPr>
            <w:tcW w:w="1137" w:type="dxa"/>
            <w:noWrap w:val="0"/>
            <w:vAlign w:val="center"/>
          </w:tcPr>
          <w:p w14:paraId="64F5DCD4">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社会效益指标</w:t>
            </w:r>
          </w:p>
        </w:tc>
        <w:tc>
          <w:tcPr>
            <w:tcW w:w="1134" w:type="dxa"/>
            <w:noWrap w:val="0"/>
            <w:vAlign w:val="center"/>
          </w:tcPr>
          <w:p w14:paraId="0EE7D68A">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改善居民生产、生活环境，提升幸福生活指数</w:t>
            </w:r>
          </w:p>
        </w:tc>
        <w:tc>
          <w:tcPr>
            <w:tcW w:w="1306" w:type="dxa"/>
            <w:noWrap w:val="0"/>
            <w:vAlign w:val="center"/>
          </w:tcPr>
          <w:p w14:paraId="027F586B">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有所改善</w:t>
            </w:r>
          </w:p>
        </w:tc>
        <w:tc>
          <w:tcPr>
            <w:tcW w:w="1264" w:type="dxa"/>
            <w:noWrap w:val="0"/>
            <w:vAlign w:val="center"/>
          </w:tcPr>
          <w:p w14:paraId="0CB53CE1">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有所改善</w:t>
            </w:r>
          </w:p>
        </w:tc>
        <w:tc>
          <w:tcPr>
            <w:tcW w:w="714" w:type="dxa"/>
            <w:shd w:val="clear" w:color="auto" w:fill="auto"/>
            <w:noWrap w:val="0"/>
            <w:vAlign w:val="center"/>
          </w:tcPr>
          <w:p w14:paraId="3EDE599C">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w:t>
            </w:r>
          </w:p>
        </w:tc>
        <w:tc>
          <w:tcPr>
            <w:tcW w:w="916" w:type="dxa"/>
            <w:noWrap w:val="0"/>
            <w:vAlign w:val="center"/>
          </w:tcPr>
          <w:p w14:paraId="6C42EF9D">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w:t>
            </w:r>
          </w:p>
        </w:tc>
        <w:tc>
          <w:tcPr>
            <w:tcW w:w="1436" w:type="dxa"/>
            <w:noWrap w:val="0"/>
            <w:vAlign w:val="center"/>
          </w:tcPr>
          <w:p w14:paraId="4893C5A9">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ED67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noWrap w:val="0"/>
            <w:vAlign w:val="center"/>
          </w:tcPr>
          <w:p w14:paraId="285A6BF9">
            <w:pPr>
              <w:spacing w:line="240" w:lineRule="exact"/>
              <w:jc w:val="left"/>
              <w:rPr>
                <w:rFonts w:hint="eastAsia" w:ascii="仿宋_GB2312" w:hAnsi="仿宋_GB2312" w:eastAsia="仿宋_GB2312" w:cs="仿宋_GB2312"/>
                <w:color w:val="000000"/>
                <w:sz w:val="20"/>
                <w:szCs w:val="20"/>
                <w:highlight w:val="none"/>
              </w:rPr>
            </w:pPr>
          </w:p>
        </w:tc>
        <w:tc>
          <w:tcPr>
            <w:tcW w:w="1097" w:type="dxa"/>
            <w:vMerge w:val="continue"/>
            <w:noWrap w:val="0"/>
            <w:vAlign w:val="center"/>
          </w:tcPr>
          <w:p w14:paraId="3E390C1E">
            <w:pPr>
              <w:spacing w:line="240" w:lineRule="exact"/>
              <w:jc w:val="left"/>
              <w:rPr>
                <w:rFonts w:hint="eastAsia" w:ascii="仿宋_GB2312" w:hAnsi="仿宋_GB2312" w:eastAsia="仿宋_GB2312" w:cs="仿宋_GB2312"/>
                <w:color w:val="000000"/>
                <w:sz w:val="20"/>
                <w:szCs w:val="20"/>
                <w:highlight w:val="none"/>
              </w:rPr>
            </w:pPr>
          </w:p>
        </w:tc>
        <w:tc>
          <w:tcPr>
            <w:tcW w:w="1137" w:type="dxa"/>
            <w:noWrap w:val="0"/>
            <w:vAlign w:val="center"/>
          </w:tcPr>
          <w:p w14:paraId="23C718C5">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生态效益指标</w:t>
            </w:r>
          </w:p>
        </w:tc>
        <w:tc>
          <w:tcPr>
            <w:tcW w:w="1134" w:type="dxa"/>
            <w:noWrap w:val="0"/>
            <w:vAlign w:val="center"/>
          </w:tcPr>
          <w:p w14:paraId="0B9978F3">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治理重点污染源企业</w:t>
            </w:r>
          </w:p>
        </w:tc>
        <w:tc>
          <w:tcPr>
            <w:tcW w:w="1306" w:type="dxa"/>
            <w:noWrap w:val="0"/>
            <w:vAlign w:val="center"/>
          </w:tcPr>
          <w:p w14:paraId="5A599D2C">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有所改善</w:t>
            </w:r>
          </w:p>
        </w:tc>
        <w:tc>
          <w:tcPr>
            <w:tcW w:w="1264" w:type="dxa"/>
            <w:noWrap w:val="0"/>
            <w:vAlign w:val="center"/>
          </w:tcPr>
          <w:p w14:paraId="4D7B21A5">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有所改善</w:t>
            </w:r>
          </w:p>
        </w:tc>
        <w:tc>
          <w:tcPr>
            <w:tcW w:w="714" w:type="dxa"/>
            <w:shd w:val="clear" w:color="auto" w:fill="auto"/>
            <w:noWrap w:val="0"/>
            <w:vAlign w:val="center"/>
          </w:tcPr>
          <w:p w14:paraId="5154B60B">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5</w:t>
            </w:r>
          </w:p>
        </w:tc>
        <w:tc>
          <w:tcPr>
            <w:tcW w:w="916" w:type="dxa"/>
            <w:noWrap w:val="0"/>
            <w:vAlign w:val="center"/>
          </w:tcPr>
          <w:p w14:paraId="36573C88">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5</w:t>
            </w:r>
          </w:p>
        </w:tc>
        <w:tc>
          <w:tcPr>
            <w:tcW w:w="1436" w:type="dxa"/>
            <w:noWrap w:val="0"/>
            <w:vAlign w:val="center"/>
          </w:tcPr>
          <w:p w14:paraId="5BCA64DE">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p>
        </w:tc>
      </w:tr>
      <w:tr w14:paraId="5BC4B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075" w:type="dxa"/>
            <w:vMerge w:val="continue"/>
            <w:noWrap w:val="0"/>
            <w:vAlign w:val="center"/>
          </w:tcPr>
          <w:p w14:paraId="422F875D">
            <w:pPr>
              <w:widowControl/>
              <w:spacing w:line="240" w:lineRule="exact"/>
              <w:jc w:val="center"/>
              <w:rPr>
                <w:rFonts w:hint="eastAsia" w:ascii="仿宋_GB2312" w:hAnsi="仿宋_GB2312" w:eastAsia="仿宋_GB2312" w:cs="仿宋_GB2312"/>
                <w:color w:val="000000"/>
                <w:sz w:val="20"/>
                <w:szCs w:val="20"/>
                <w:highlight w:val="none"/>
              </w:rPr>
            </w:pPr>
            <w:bookmarkStart w:id="9" w:name="OLE_LINK2" w:colFirst="6" w:colLast="7"/>
          </w:p>
        </w:tc>
        <w:tc>
          <w:tcPr>
            <w:tcW w:w="1097" w:type="dxa"/>
            <w:vMerge w:val="continue"/>
            <w:noWrap w:val="0"/>
            <w:vAlign w:val="center"/>
          </w:tcPr>
          <w:p w14:paraId="77E70174">
            <w:pPr>
              <w:widowControl/>
              <w:spacing w:line="240" w:lineRule="exact"/>
              <w:jc w:val="left"/>
              <w:rPr>
                <w:rFonts w:hint="eastAsia" w:ascii="仿宋_GB2312" w:hAnsi="仿宋_GB2312" w:eastAsia="仿宋_GB2312" w:cs="仿宋_GB2312"/>
                <w:color w:val="000000"/>
                <w:sz w:val="20"/>
                <w:szCs w:val="20"/>
                <w:highlight w:val="none"/>
              </w:rPr>
            </w:pPr>
          </w:p>
        </w:tc>
        <w:tc>
          <w:tcPr>
            <w:tcW w:w="1137" w:type="dxa"/>
            <w:noWrap w:val="0"/>
            <w:vAlign w:val="center"/>
          </w:tcPr>
          <w:p w14:paraId="2A0CD5CE">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可持续影响指标</w:t>
            </w:r>
          </w:p>
        </w:tc>
        <w:tc>
          <w:tcPr>
            <w:tcW w:w="1134" w:type="dxa"/>
            <w:shd w:val="clear" w:color="auto" w:fill="auto"/>
            <w:noWrap w:val="0"/>
            <w:vAlign w:val="center"/>
          </w:tcPr>
          <w:p w14:paraId="7F9C919C">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环境、经济、社会可持续发展</w:t>
            </w:r>
          </w:p>
        </w:tc>
        <w:tc>
          <w:tcPr>
            <w:tcW w:w="1306" w:type="dxa"/>
            <w:shd w:val="clear" w:color="auto" w:fill="auto"/>
            <w:noWrap w:val="0"/>
            <w:vAlign w:val="center"/>
          </w:tcPr>
          <w:p w14:paraId="77AF9320">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有所改善</w:t>
            </w:r>
          </w:p>
        </w:tc>
        <w:tc>
          <w:tcPr>
            <w:tcW w:w="1264" w:type="dxa"/>
            <w:shd w:val="clear" w:color="auto" w:fill="auto"/>
            <w:noWrap w:val="0"/>
            <w:vAlign w:val="center"/>
          </w:tcPr>
          <w:p w14:paraId="3B149F3C">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有所改善</w:t>
            </w:r>
          </w:p>
        </w:tc>
        <w:tc>
          <w:tcPr>
            <w:tcW w:w="714" w:type="dxa"/>
            <w:noWrap w:val="0"/>
            <w:vAlign w:val="center"/>
          </w:tcPr>
          <w:p w14:paraId="5687FE4C">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916" w:type="dxa"/>
            <w:noWrap w:val="0"/>
            <w:vAlign w:val="center"/>
          </w:tcPr>
          <w:p w14:paraId="082B2F09">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1436" w:type="dxa"/>
            <w:noWrap w:val="0"/>
            <w:vAlign w:val="center"/>
          </w:tcPr>
          <w:p w14:paraId="6CE328CC">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bookmarkEnd w:id="9"/>
      <w:tr w14:paraId="16161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75" w:type="dxa"/>
            <w:vMerge w:val="continue"/>
            <w:noWrap w:val="0"/>
            <w:vAlign w:val="center"/>
          </w:tcPr>
          <w:p w14:paraId="11B7EAA5">
            <w:pPr>
              <w:spacing w:line="240" w:lineRule="exact"/>
              <w:jc w:val="left"/>
              <w:rPr>
                <w:rFonts w:hint="eastAsia" w:ascii="仿宋_GB2312" w:hAnsi="仿宋_GB2312" w:eastAsia="仿宋_GB2312" w:cs="仿宋_GB2312"/>
                <w:color w:val="000000"/>
                <w:sz w:val="20"/>
                <w:szCs w:val="20"/>
                <w:highlight w:val="none"/>
              </w:rPr>
            </w:pPr>
          </w:p>
        </w:tc>
        <w:tc>
          <w:tcPr>
            <w:tcW w:w="1097" w:type="dxa"/>
            <w:vMerge w:val="restart"/>
            <w:noWrap w:val="0"/>
            <w:vAlign w:val="center"/>
          </w:tcPr>
          <w:p w14:paraId="0AE3232B">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p w14:paraId="7FBFD7CA">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r>
              <w:rPr>
                <w:rFonts w:hint="eastAsia" w:ascii="仿宋_GB2312" w:hAnsi="仿宋_GB2312" w:eastAsia="仿宋_GB2312" w:cs="仿宋_GB2312"/>
                <w:color w:val="000000"/>
                <w:sz w:val="20"/>
                <w:szCs w:val="20"/>
                <w:highlight w:val="none"/>
                <w:lang w:val="en-US" w:eastAsia="zh-CN"/>
              </w:rPr>
              <w:t>30</w:t>
            </w:r>
            <w:r>
              <w:rPr>
                <w:rFonts w:hint="eastAsia" w:ascii="仿宋_GB2312" w:hAnsi="仿宋_GB2312" w:eastAsia="仿宋_GB2312" w:cs="仿宋_GB2312"/>
                <w:color w:val="000000"/>
                <w:sz w:val="20"/>
                <w:szCs w:val="20"/>
                <w:highlight w:val="none"/>
              </w:rPr>
              <w:t>分）</w:t>
            </w:r>
          </w:p>
          <w:p w14:paraId="0396E415">
            <w:pPr>
              <w:widowControl/>
              <w:spacing w:line="240" w:lineRule="exact"/>
              <w:jc w:val="center"/>
              <w:rPr>
                <w:rFonts w:hint="eastAsia" w:ascii="仿宋_GB2312" w:hAnsi="仿宋_GB2312" w:eastAsia="仿宋_GB2312" w:cs="仿宋_GB2312"/>
                <w:color w:val="000000"/>
                <w:sz w:val="20"/>
                <w:szCs w:val="20"/>
                <w:highlight w:val="none"/>
              </w:rPr>
            </w:pPr>
          </w:p>
        </w:tc>
        <w:tc>
          <w:tcPr>
            <w:tcW w:w="1137" w:type="dxa"/>
            <w:noWrap w:val="0"/>
            <w:vAlign w:val="center"/>
          </w:tcPr>
          <w:p w14:paraId="4052A2E0">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经济成本指标</w:t>
            </w:r>
          </w:p>
        </w:tc>
        <w:tc>
          <w:tcPr>
            <w:tcW w:w="1134" w:type="dxa"/>
            <w:noWrap w:val="0"/>
            <w:vAlign w:val="center"/>
          </w:tcPr>
          <w:p w14:paraId="2A6D83B1">
            <w:pPr>
              <w:keepNext w:val="0"/>
              <w:keepLines w:val="0"/>
              <w:pageBreakBefore w:val="0"/>
              <w:widowControl/>
              <w:tabs>
                <w:tab w:val="left" w:pos="498"/>
              </w:tabs>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ab/>
            </w:r>
            <w:r>
              <w:rPr>
                <w:rFonts w:hint="eastAsia" w:ascii="仿宋_GB2312" w:hAnsi="仿宋_GB2312" w:eastAsia="仿宋_GB2312" w:cs="仿宋_GB2312"/>
                <w:color w:val="000000"/>
                <w:sz w:val="20"/>
                <w:szCs w:val="20"/>
                <w:lang w:eastAsia="zh-CN"/>
              </w:rPr>
              <w:t>预算整体支出</w:t>
            </w:r>
          </w:p>
        </w:tc>
        <w:tc>
          <w:tcPr>
            <w:tcW w:w="1306" w:type="dxa"/>
            <w:noWrap w:val="0"/>
            <w:vAlign w:val="center"/>
          </w:tcPr>
          <w:p w14:paraId="0364C3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=99万元</w:t>
            </w:r>
          </w:p>
        </w:tc>
        <w:tc>
          <w:tcPr>
            <w:tcW w:w="1264" w:type="dxa"/>
            <w:noWrap w:val="0"/>
            <w:vAlign w:val="center"/>
          </w:tcPr>
          <w:p w14:paraId="1FBE903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按预算数执行</w:t>
            </w:r>
          </w:p>
        </w:tc>
        <w:tc>
          <w:tcPr>
            <w:tcW w:w="714" w:type="dxa"/>
            <w:noWrap w:val="0"/>
            <w:vAlign w:val="center"/>
          </w:tcPr>
          <w:p w14:paraId="102CB9B6">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916" w:type="dxa"/>
            <w:noWrap w:val="0"/>
            <w:vAlign w:val="center"/>
          </w:tcPr>
          <w:p w14:paraId="42AB0DEC">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1436" w:type="dxa"/>
            <w:noWrap w:val="0"/>
            <w:vAlign w:val="center"/>
          </w:tcPr>
          <w:p w14:paraId="0569E704">
            <w:pPr>
              <w:widowControl/>
              <w:spacing w:line="240" w:lineRule="exact"/>
              <w:jc w:val="left"/>
              <w:rPr>
                <w:rFonts w:hint="eastAsia" w:ascii="仿宋_GB2312" w:hAnsi="仿宋_GB2312" w:eastAsia="仿宋_GB2312" w:cs="仿宋_GB2312"/>
                <w:color w:val="000000"/>
                <w:sz w:val="20"/>
                <w:szCs w:val="20"/>
                <w:highlight w:val="none"/>
              </w:rPr>
            </w:pPr>
          </w:p>
        </w:tc>
      </w:tr>
      <w:tr w14:paraId="1C467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75" w:type="dxa"/>
            <w:vMerge w:val="continue"/>
            <w:noWrap w:val="0"/>
            <w:vAlign w:val="center"/>
          </w:tcPr>
          <w:p w14:paraId="1A67DD93">
            <w:pPr>
              <w:spacing w:line="240" w:lineRule="exact"/>
              <w:jc w:val="left"/>
              <w:rPr>
                <w:rFonts w:hint="eastAsia" w:ascii="仿宋_GB2312" w:hAnsi="仿宋_GB2312" w:eastAsia="仿宋_GB2312" w:cs="仿宋_GB2312"/>
                <w:color w:val="000000"/>
                <w:sz w:val="20"/>
                <w:szCs w:val="20"/>
                <w:highlight w:val="none"/>
              </w:rPr>
            </w:pPr>
          </w:p>
        </w:tc>
        <w:tc>
          <w:tcPr>
            <w:tcW w:w="1097" w:type="dxa"/>
            <w:vMerge w:val="continue"/>
            <w:noWrap w:val="0"/>
            <w:vAlign w:val="center"/>
          </w:tcPr>
          <w:p w14:paraId="2B066519">
            <w:pPr>
              <w:widowControl/>
              <w:spacing w:line="240" w:lineRule="exact"/>
              <w:jc w:val="center"/>
              <w:rPr>
                <w:rFonts w:hint="eastAsia" w:ascii="仿宋_GB2312" w:hAnsi="仿宋_GB2312" w:eastAsia="仿宋_GB2312" w:cs="仿宋_GB2312"/>
                <w:color w:val="000000"/>
                <w:sz w:val="20"/>
                <w:szCs w:val="20"/>
                <w:highlight w:val="none"/>
              </w:rPr>
            </w:pPr>
          </w:p>
        </w:tc>
        <w:tc>
          <w:tcPr>
            <w:tcW w:w="1137" w:type="dxa"/>
            <w:noWrap w:val="0"/>
            <w:vAlign w:val="center"/>
          </w:tcPr>
          <w:p w14:paraId="13A96803">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社会成本指标</w:t>
            </w:r>
          </w:p>
        </w:tc>
        <w:tc>
          <w:tcPr>
            <w:tcW w:w="1134" w:type="dxa"/>
            <w:noWrap w:val="0"/>
            <w:vAlign w:val="center"/>
          </w:tcPr>
          <w:p w14:paraId="6E0A2C1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对社会发展可能造成的影响</w:t>
            </w:r>
          </w:p>
        </w:tc>
        <w:tc>
          <w:tcPr>
            <w:tcW w:w="1306" w:type="dxa"/>
            <w:noWrap w:val="0"/>
            <w:vAlign w:val="center"/>
          </w:tcPr>
          <w:p w14:paraId="712E93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无</w:t>
            </w:r>
          </w:p>
        </w:tc>
        <w:tc>
          <w:tcPr>
            <w:tcW w:w="1264" w:type="dxa"/>
            <w:noWrap w:val="0"/>
            <w:vAlign w:val="center"/>
          </w:tcPr>
          <w:p w14:paraId="5773C4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无负面影响</w:t>
            </w:r>
          </w:p>
        </w:tc>
        <w:tc>
          <w:tcPr>
            <w:tcW w:w="714" w:type="dxa"/>
            <w:noWrap w:val="0"/>
            <w:vAlign w:val="center"/>
          </w:tcPr>
          <w:p w14:paraId="49587669">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916" w:type="dxa"/>
            <w:noWrap w:val="0"/>
            <w:vAlign w:val="center"/>
          </w:tcPr>
          <w:p w14:paraId="1F730558">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1436" w:type="dxa"/>
            <w:noWrap w:val="0"/>
            <w:vAlign w:val="center"/>
          </w:tcPr>
          <w:p w14:paraId="6CD88426">
            <w:pPr>
              <w:widowControl/>
              <w:spacing w:line="240" w:lineRule="exact"/>
              <w:jc w:val="left"/>
              <w:rPr>
                <w:rFonts w:hint="eastAsia" w:ascii="仿宋_GB2312" w:hAnsi="仿宋_GB2312" w:eastAsia="仿宋_GB2312" w:cs="仿宋_GB2312"/>
                <w:color w:val="000000"/>
                <w:sz w:val="20"/>
                <w:szCs w:val="20"/>
                <w:highlight w:val="none"/>
              </w:rPr>
            </w:pPr>
          </w:p>
        </w:tc>
      </w:tr>
      <w:tr w14:paraId="65930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75" w:type="dxa"/>
            <w:vMerge w:val="continue"/>
            <w:noWrap w:val="0"/>
            <w:vAlign w:val="center"/>
          </w:tcPr>
          <w:p w14:paraId="59B938FF">
            <w:pPr>
              <w:spacing w:line="240" w:lineRule="exact"/>
              <w:jc w:val="left"/>
              <w:rPr>
                <w:rFonts w:hint="eastAsia" w:ascii="仿宋_GB2312" w:hAnsi="仿宋_GB2312" w:eastAsia="仿宋_GB2312" w:cs="仿宋_GB2312"/>
                <w:color w:val="000000"/>
                <w:sz w:val="20"/>
                <w:szCs w:val="20"/>
                <w:highlight w:val="none"/>
              </w:rPr>
            </w:pPr>
          </w:p>
        </w:tc>
        <w:tc>
          <w:tcPr>
            <w:tcW w:w="1097" w:type="dxa"/>
            <w:vMerge w:val="continue"/>
            <w:noWrap w:val="0"/>
            <w:vAlign w:val="center"/>
          </w:tcPr>
          <w:p w14:paraId="3B720E6E">
            <w:pPr>
              <w:widowControl/>
              <w:spacing w:line="240" w:lineRule="exact"/>
              <w:jc w:val="center"/>
              <w:rPr>
                <w:rFonts w:hint="eastAsia" w:ascii="仿宋_GB2312" w:hAnsi="仿宋_GB2312" w:eastAsia="仿宋_GB2312" w:cs="仿宋_GB2312"/>
                <w:color w:val="000000"/>
                <w:sz w:val="20"/>
                <w:szCs w:val="20"/>
                <w:highlight w:val="none"/>
              </w:rPr>
            </w:pPr>
          </w:p>
        </w:tc>
        <w:tc>
          <w:tcPr>
            <w:tcW w:w="1137" w:type="dxa"/>
            <w:noWrap w:val="0"/>
            <w:vAlign w:val="center"/>
          </w:tcPr>
          <w:p w14:paraId="78970AFA">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生态环境成本指标</w:t>
            </w:r>
          </w:p>
        </w:tc>
        <w:tc>
          <w:tcPr>
            <w:tcW w:w="1134" w:type="dxa"/>
            <w:noWrap w:val="0"/>
            <w:vAlign w:val="center"/>
          </w:tcPr>
          <w:p w14:paraId="46AD27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对生态环境可能造成的影响</w:t>
            </w:r>
          </w:p>
        </w:tc>
        <w:tc>
          <w:tcPr>
            <w:tcW w:w="1306" w:type="dxa"/>
            <w:noWrap w:val="0"/>
            <w:vAlign w:val="center"/>
          </w:tcPr>
          <w:p w14:paraId="3047C4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无</w:t>
            </w:r>
          </w:p>
        </w:tc>
        <w:tc>
          <w:tcPr>
            <w:tcW w:w="1264" w:type="dxa"/>
            <w:noWrap w:val="0"/>
            <w:vAlign w:val="center"/>
          </w:tcPr>
          <w:p w14:paraId="1EFDA9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无负面影响</w:t>
            </w:r>
          </w:p>
        </w:tc>
        <w:tc>
          <w:tcPr>
            <w:tcW w:w="714" w:type="dxa"/>
            <w:noWrap w:val="0"/>
            <w:vAlign w:val="center"/>
          </w:tcPr>
          <w:p w14:paraId="65DFA452">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916" w:type="dxa"/>
            <w:noWrap w:val="0"/>
            <w:vAlign w:val="center"/>
          </w:tcPr>
          <w:p w14:paraId="519B975E">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1436" w:type="dxa"/>
            <w:noWrap w:val="0"/>
            <w:vAlign w:val="center"/>
          </w:tcPr>
          <w:p w14:paraId="39305A54">
            <w:pPr>
              <w:widowControl/>
              <w:spacing w:line="240" w:lineRule="exact"/>
              <w:jc w:val="left"/>
              <w:rPr>
                <w:rFonts w:hint="eastAsia" w:ascii="仿宋_GB2312" w:hAnsi="仿宋_GB2312" w:eastAsia="仿宋_GB2312" w:cs="仿宋_GB2312"/>
                <w:color w:val="000000"/>
                <w:sz w:val="20"/>
                <w:szCs w:val="20"/>
                <w:highlight w:val="none"/>
              </w:rPr>
            </w:pPr>
          </w:p>
        </w:tc>
      </w:tr>
      <w:tr w14:paraId="53603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75" w:type="dxa"/>
            <w:vMerge w:val="continue"/>
            <w:noWrap w:val="0"/>
            <w:vAlign w:val="center"/>
          </w:tcPr>
          <w:p w14:paraId="55285326">
            <w:pPr>
              <w:spacing w:line="240" w:lineRule="exact"/>
              <w:jc w:val="left"/>
              <w:rPr>
                <w:rFonts w:hint="eastAsia" w:ascii="仿宋_GB2312" w:hAnsi="仿宋_GB2312" w:eastAsia="仿宋_GB2312" w:cs="仿宋_GB2312"/>
                <w:color w:val="000000"/>
                <w:sz w:val="20"/>
                <w:szCs w:val="20"/>
                <w:highlight w:val="none"/>
              </w:rPr>
            </w:pPr>
          </w:p>
        </w:tc>
        <w:tc>
          <w:tcPr>
            <w:tcW w:w="1097" w:type="dxa"/>
            <w:noWrap w:val="0"/>
            <w:vAlign w:val="center"/>
          </w:tcPr>
          <w:p w14:paraId="09B1EF61">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3D442DBA">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2261AA97">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137" w:type="dxa"/>
            <w:noWrap w:val="0"/>
            <w:vAlign w:val="center"/>
          </w:tcPr>
          <w:p w14:paraId="27B80195">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134" w:type="dxa"/>
            <w:noWrap w:val="0"/>
            <w:vAlign w:val="center"/>
          </w:tcPr>
          <w:p w14:paraId="7B4B2B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rPr>
              <w:t>屈原区人民群众</w:t>
            </w:r>
          </w:p>
        </w:tc>
        <w:tc>
          <w:tcPr>
            <w:tcW w:w="1306" w:type="dxa"/>
            <w:noWrap w:val="0"/>
            <w:vAlign w:val="center"/>
          </w:tcPr>
          <w:p w14:paraId="496BD1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≥90%</w:t>
            </w:r>
          </w:p>
        </w:tc>
        <w:tc>
          <w:tcPr>
            <w:tcW w:w="1264" w:type="dxa"/>
            <w:noWrap w:val="0"/>
            <w:vAlign w:val="center"/>
          </w:tcPr>
          <w:p w14:paraId="43B077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95%</w:t>
            </w:r>
          </w:p>
        </w:tc>
        <w:tc>
          <w:tcPr>
            <w:tcW w:w="714" w:type="dxa"/>
            <w:noWrap w:val="0"/>
            <w:vAlign w:val="center"/>
          </w:tcPr>
          <w:p w14:paraId="171DBF63">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916" w:type="dxa"/>
            <w:noWrap w:val="0"/>
            <w:vAlign w:val="center"/>
          </w:tcPr>
          <w:p w14:paraId="593FD368">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1436" w:type="dxa"/>
            <w:noWrap w:val="0"/>
            <w:vAlign w:val="center"/>
          </w:tcPr>
          <w:p w14:paraId="7C3A2D21">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C77A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13" w:type="dxa"/>
            <w:gridSpan w:val="6"/>
            <w:noWrap w:val="0"/>
            <w:vAlign w:val="center"/>
          </w:tcPr>
          <w:p w14:paraId="7E6A9E85">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14" w:type="dxa"/>
            <w:noWrap w:val="0"/>
            <w:vAlign w:val="center"/>
          </w:tcPr>
          <w:p w14:paraId="3FB4AA08">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916" w:type="dxa"/>
            <w:noWrap w:val="0"/>
            <w:vAlign w:val="center"/>
          </w:tcPr>
          <w:p w14:paraId="4D27A8A2">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98</w:t>
            </w:r>
          </w:p>
        </w:tc>
        <w:tc>
          <w:tcPr>
            <w:tcW w:w="1436" w:type="dxa"/>
            <w:noWrap w:val="0"/>
            <w:vAlign w:val="center"/>
          </w:tcPr>
          <w:p w14:paraId="45019839">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1FAC20DC">
      <w:pPr>
        <w:widowControl/>
        <w:spacing w:line="600" w:lineRule="exact"/>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仿宋_GB2312" w:cs="Times New Roman"/>
          <w:sz w:val="22"/>
          <w:szCs w:val="22"/>
          <w:highlight w:val="none"/>
        </w:rPr>
        <w:t xml:space="preserve">填表人：      填报日期：         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单位负责人签字：</w:t>
      </w: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2B0EA264">
      <w:pPr>
        <w:widowControl/>
        <w:spacing w:line="600" w:lineRule="exact"/>
        <w:jc w:val="center"/>
        <w:rPr>
          <w:rFonts w:hint="eastAsia" w:ascii="方正小标宋简体" w:hAnsi="方正小标宋简体" w:eastAsia="方正小标宋简体" w:cs="方正小标宋简体"/>
          <w:color w:val="000000"/>
          <w:sz w:val="36"/>
          <w:szCs w:val="36"/>
          <w:highlight w:val="none"/>
          <w:lang w:val="en-US" w:eastAsia="zh-CN"/>
        </w:rPr>
      </w:pPr>
      <w:r>
        <w:rPr>
          <w:rFonts w:hint="eastAsia" w:ascii="方正小标宋简体" w:hAnsi="方正小标宋简体" w:eastAsia="方正小标宋简体" w:cs="方正小标宋简体"/>
          <w:color w:val="000000"/>
          <w:sz w:val="36"/>
          <w:szCs w:val="36"/>
          <w:highlight w:val="none"/>
          <w:lang w:val="en-US" w:eastAsia="zh-CN"/>
        </w:rPr>
        <w:t>2024年度项目支出绩效自评表</w:t>
      </w:r>
    </w:p>
    <w:tbl>
      <w:tblPr>
        <w:tblStyle w:val="9"/>
        <w:tblW w:w="9851" w:type="dxa"/>
        <w:jc w:val="center"/>
        <w:tblLayout w:type="fixed"/>
        <w:tblCellMar>
          <w:top w:w="0" w:type="dxa"/>
          <w:left w:w="108" w:type="dxa"/>
          <w:bottom w:w="0" w:type="dxa"/>
          <w:right w:w="108" w:type="dxa"/>
        </w:tblCellMar>
      </w:tblPr>
      <w:tblGrid>
        <w:gridCol w:w="1058"/>
        <w:gridCol w:w="1065"/>
        <w:gridCol w:w="1053"/>
        <w:gridCol w:w="1344"/>
        <w:gridCol w:w="1068"/>
        <w:gridCol w:w="1216"/>
        <w:gridCol w:w="814"/>
        <w:gridCol w:w="861"/>
        <w:gridCol w:w="1372"/>
      </w:tblGrid>
      <w:tr w14:paraId="113C5758">
        <w:tblPrEx>
          <w:tblCellMar>
            <w:top w:w="0" w:type="dxa"/>
            <w:left w:w="108" w:type="dxa"/>
            <w:bottom w:w="0" w:type="dxa"/>
            <w:right w:w="108" w:type="dxa"/>
          </w:tblCellMar>
        </w:tblPrEx>
        <w:trPr>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14:paraId="699B4E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4970ED2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93" w:type="dxa"/>
            <w:gridSpan w:val="8"/>
            <w:tcBorders>
              <w:top w:val="single" w:color="auto" w:sz="4" w:space="0"/>
              <w:left w:val="nil"/>
              <w:bottom w:val="single" w:color="auto" w:sz="4" w:space="0"/>
              <w:right w:val="single" w:color="auto" w:sz="4" w:space="0"/>
            </w:tcBorders>
            <w:noWrap w:val="0"/>
            <w:vAlign w:val="center"/>
          </w:tcPr>
          <w:p w14:paraId="2C99E6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环境监察、监测等运行经费</w:t>
            </w:r>
          </w:p>
        </w:tc>
      </w:tr>
      <w:tr w14:paraId="1572C759">
        <w:tblPrEx>
          <w:tblCellMar>
            <w:top w:w="0" w:type="dxa"/>
            <w:left w:w="108" w:type="dxa"/>
            <w:bottom w:w="0" w:type="dxa"/>
            <w:right w:w="108" w:type="dxa"/>
          </w:tblCellMar>
        </w:tblPrEx>
        <w:trPr>
          <w:jc w:val="center"/>
        </w:trPr>
        <w:tc>
          <w:tcPr>
            <w:tcW w:w="1058" w:type="dxa"/>
            <w:tcBorders>
              <w:top w:val="nil"/>
              <w:left w:val="single" w:color="auto" w:sz="4" w:space="0"/>
              <w:bottom w:val="single" w:color="auto" w:sz="4" w:space="0"/>
              <w:right w:val="single" w:color="auto" w:sz="4" w:space="0"/>
            </w:tcBorders>
            <w:noWrap w:val="0"/>
            <w:vAlign w:val="center"/>
          </w:tcPr>
          <w:p w14:paraId="42DDD29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30" w:type="dxa"/>
            <w:gridSpan w:val="4"/>
            <w:tcBorders>
              <w:top w:val="single" w:color="auto" w:sz="4" w:space="0"/>
              <w:left w:val="nil"/>
              <w:bottom w:val="single" w:color="auto" w:sz="4" w:space="0"/>
              <w:right w:val="single" w:color="auto" w:sz="4" w:space="0"/>
            </w:tcBorders>
            <w:noWrap w:val="0"/>
            <w:vAlign w:val="center"/>
          </w:tcPr>
          <w:p w14:paraId="3129E5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岳阳市生态环境局</w:t>
            </w:r>
          </w:p>
        </w:tc>
        <w:tc>
          <w:tcPr>
            <w:tcW w:w="1216" w:type="dxa"/>
            <w:tcBorders>
              <w:top w:val="single" w:color="auto" w:sz="4" w:space="0"/>
              <w:left w:val="nil"/>
              <w:bottom w:val="single" w:color="auto" w:sz="4" w:space="0"/>
              <w:right w:val="single" w:color="000000" w:sz="4" w:space="0"/>
            </w:tcBorders>
            <w:noWrap w:val="0"/>
            <w:vAlign w:val="center"/>
          </w:tcPr>
          <w:p w14:paraId="472597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047" w:type="dxa"/>
            <w:gridSpan w:val="3"/>
            <w:tcBorders>
              <w:top w:val="single" w:color="auto" w:sz="4" w:space="0"/>
              <w:left w:val="nil"/>
              <w:bottom w:val="single" w:color="auto" w:sz="4" w:space="0"/>
              <w:right w:val="single" w:color="auto" w:sz="4" w:space="0"/>
            </w:tcBorders>
            <w:noWrap w:val="0"/>
            <w:vAlign w:val="center"/>
          </w:tcPr>
          <w:p w14:paraId="6F89B8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岳阳市生态环境局屈原分局</w:t>
            </w:r>
          </w:p>
        </w:tc>
      </w:tr>
      <w:tr w14:paraId="6767F1CE">
        <w:tblPrEx>
          <w:tblCellMar>
            <w:top w:w="0" w:type="dxa"/>
            <w:left w:w="108" w:type="dxa"/>
            <w:bottom w:w="0" w:type="dxa"/>
            <w:right w:w="108" w:type="dxa"/>
          </w:tblCellMar>
        </w:tblPrEx>
        <w:trPr>
          <w:jc w:val="center"/>
        </w:trPr>
        <w:tc>
          <w:tcPr>
            <w:tcW w:w="1058" w:type="dxa"/>
            <w:vMerge w:val="restart"/>
            <w:tcBorders>
              <w:top w:val="nil"/>
              <w:left w:val="single" w:color="auto" w:sz="4" w:space="0"/>
              <w:bottom w:val="single" w:color="000000" w:sz="4" w:space="0"/>
              <w:right w:val="single" w:color="auto" w:sz="4" w:space="0"/>
            </w:tcBorders>
            <w:noWrap w:val="0"/>
            <w:vAlign w:val="center"/>
          </w:tcPr>
          <w:p w14:paraId="098D5B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18" w:type="dxa"/>
            <w:gridSpan w:val="2"/>
            <w:tcBorders>
              <w:top w:val="nil"/>
              <w:left w:val="nil"/>
              <w:bottom w:val="single" w:color="auto" w:sz="4" w:space="0"/>
              <w:right w:val="single" w:color="auto" w:sz="4" w:space="0"/>
            </w:tcBorders>
            <w:noWrap w:val="0"/>
            <w:vAlign w:val="center"/>
          </w:tcPr>
          <w:p w14:paraId="6C98B60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44" w:type="dxa"/>
            <w:tcBorders>
              <w:top w:val="nil"/>
              <w:left w:val="nil"/>
              <w:bottom w:val="single" w:color="auto" w:sz="4" w:space="0"/>
              <w:right w:val="single" w:color="auto" w:sz="4" w:space="0"/>
            </w:tcBorders>
            <w:noWrap w:val="0"/>
            <w:vAlign w:val="center"/>
          </w:tcPr>
          <w:p w14:paraId="17124E5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29BE838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068" w:type="dxa"/>
            <w:tcBorders>
              <w:top w:val="nil"/>
              <w:left w:val="nil"/>
              <w:bottom w:val="single" w:color="auto" w:sz="4" w:space="0"/>
              <w:right w:val="single" w:color="auto" w:sz="4" w:space="0"/>
            </w:tcBorders>
            <w:noWrap w:val="0"/>
            <w:vAlign w:val="center"/>
          </w:tcPr>
          <w:p w14:paraId="5D71CF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7A4308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16" w:type="dxa"/>
            <w:tcBorders>
              <w:top w:val="nil"/>
              <w:left w:val="nil"/>
              <w:bottom w:val="single" w:color="auto" w:sz="4" w:space="0"/>
              <w:right w:val="single" w:color="auto" w:sz="4" w:space="0"/>
            </w:tcBorders>
            <w:noWrap w:val="0"/>
            <w:vAlign w:val="center"/>
          </w:tcPr>
          <w:p w14:paraId="20E94CD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64C1BD2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14" w:type="dxa"/>
            <w:tcBorders>
              <w:top w:val="nil"/>
              <w:left w:val="nil"/>
              <w:bottom w:val="single" w:color="auto" w:sz="4" w:space="0"/>
              <w:right w:val="single" w:color="auto" w:sz="4" w:space="0"/>
            </w:tcBorders>
            <w:noWrap w:val="0"/>
            <w:vAlign w:val="center"/>
          </w:tcPr>
          <w:p w14:paraId="36E9688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61" w:type="dxa"/>
            <w:tcBorders>
              <w:top w:val="nil"/>
              <w:left w:val="nil"/>
              <w:bottom w:val="single" w:color="auto" w:sz="4" w:space="0"/>
              <w:right w:val="single" w:color="auto" w:sz="4" w:space="0"/>
            </w:tcBorders>
            <w:noWrap w:val="0"/>
            <w:vAlign w:val="center"/>
          </w:tcPr>
          <w:p w14:paraId="71E47AA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372" w:type="dxa"/>
            <w:tcBorders>
              <w:top w:val="nil"/>
              <w:left w:val="nil"/>
              <w:bottom w:val="single" w:color="auto" w:sz="4" w:space="0"/>
              <w:right w:val="single" w:color="auto" w:sz="4" w:space="0"/>
            </w:tcBorders>
            <w:noWrap w:val="0"/>
            <w:vAlign w:val="center"/>
          </w:tcPr>
          <w:p w14:paraId="747DC1D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084B2836">
        <w:tblPrEx>
          <w:tblCellMar>
            <w:top w:w="0" w:type="dxa"/>
            <w:left w:w="108" w:type="dxa"/>
            <w:bottom w:w="0" w:type="dxa"/>
            <w:right w:w="108" w:type="dxa"/>
          </w:tblCellMar>
        </w:tblPrEx>
        <w:trPr>
          <w:jc w:val="center"/>
        </w:trPr>
        <w:tc>
          <w:tcPr>
            <w:tcW w:w="1058" w:type="dxa"/>
            <w:vMerge w:val="continue"/>
            <w:tcBorders>
              <w:top w:val="nil"/>
              <w:left w:val="single" w:color="auto" w:sz="4" w:space="0"/>
              <w:bottom w:val="single" w:color="000000" w:sz="4" w:space="0"/>
              <w:right w:val="single" w:color="auto" w:sz="4" w:space="0"/>
            </w:tcBorders>
            <w:noWrap w:val="0"/>
            <w:vAlign w:val="center"/>
          </w:tcPr>
          <w:p w14:paraId="4FD6307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18" w:type="dxa"/>
            <w:gridSpan w:val="2"/>
            <w:tcBorders>
              <w:top w:val="nil"/>
              <w:left w:val="nil"/>
              <w:bottom w:val="single" w:color="auto" w:sz="4" w:space="0"/>
              <w:right w:val="single" w:color="auto" w:sz="4" w:space="0"/>
            </w:tcBorders>
            <w:noWrap w:val="0"/>
            <w:vAlign w:val="center"/>
          </w:tcPr>
          <w:p w14:paraId="39FAAAF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344" w:type="dxa"/>
            <w:tcBorders>
              <w:top w:val="nil"/>
              <w:left w:val="nil"/>
              <w:bottom w:val="single" w:color="auto" w:sz="4" w:space="0"/>
              <w:right w:val="single" w:color="auto" w:sz="4" w:space="0"/>
            </w:tcBorders>
            <w:noWrap w:val="0"/>
            <w:vAlign w:val="center"/>
          </w:tcPr>
          <w:p w14:paraId="1AD414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068" w:type="dxa"/>
            <w:tcBorders>
              <w:top w:val="nil"/>
              <w:left w:val="nil"/>
              <w:bottom w:val="single" w:color="auto" w:sz="4" w:space="0"/>
              <w:right w:val="single" w:color="auto" w:sz="4" w:space="0"/>
            </w:tcBorders>
            <w:noWrap w:val="0"/>
            <w:vAlign w:val="center"/>
          </w:tcPr>
          <w:p w14:paraId="4BD08A5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bookmarkStart w:id="10" w:name="OLE_LINK5"/>
            <w:r>
              <w:rPr>
                <w:rFonts w:hint="eastAsia" w:ascii="仿宋_GB2312" w:hAnsi="仿宋_GB2312" w:eastAsia="仿宋_GB2312" w:cs="仿宋_GB2312"/>
                <w:color w:val="000000"/>
                <w:sz w:val="20"/>
                <w:szCs w:val="20"/>
                <w:highlight w:val="none"/>
                <w:lang w:val="en-US" w:eastAsia="zh-CN"/>
              </w:rPr>
              <w:t>25.83</w:t>
            </w:r>
            <w:bookmarkEnd w:id="10"/>
          </w:p>
        </w:tc>
        <w:tc>
          <w:tcPr>
            <w:tcW w:w="1216" w:type="dxa"/>
            <w:tcBorders>
              <w:top w:val="nil"/>
              <w:left w:val="nil"/>
              <w:bottom w:val="single" w:color="auto" w:sz="4" w:space="0"/>
              <w:right w:val="single" w:color="auto" w:sz="4" w:space="0"/>
            </w:tcBorders>
            <w:noWrap w:val="0"/>
            <w:vAlign w:val="center"/>
          </w:tcPr>
          <w:p w14:paraId="0884E8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25.83</w:t>
            </w:r>
          </w:p>
        </w:tc>
        <w:tc>
          <w:tcPr>
            <w:tcW w:w="814" w:type="dxa"/>
            <w:tcBorders>
              <w:top w:val="nil"/>
              <w:left w:val="nil"/>
              <w:bottom w:val="single" w:color="auto" w:sz="4" w:space="0"/>
              <w:right w:val="single" w:color="auto" w:sz="4" w:space="0"/>
            </w:tcBorders>
            <w:noWrap w:val="0"/>
            <w:vAlign w:val="center"/>
          </w:tcPr>
          <w:p w14:paraId="05ED0A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w:t>
            </w:r>
          </w:p>
        </w:tc>
        <w:tc>
          <w:tcPr>
            <w:tcW w:w="861" w:type="dxa"/>
            <w:tcBorders>
              <w:top w:val="nil"/>
              <w:left w:val="nil"/>
              <w:bottom w:val="single" w:color="auto" w:sz="4" w:space="0"/>
              <w:right w:val="single" w:color="auto" w:sz="4" w:space="0"/>
            </w:tcBorders>
            <w:noWrap w:val="0"/>
            <w:vAlign w:val="center"/>
          </w:tcPr>
          <w:p w14:paraId="1F7F79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372" w:type="dxa"/>
            <w:tcBorders>
              <w:top w:val="nil"/>
              <w:left w:val="nil"/>
              <w:bottom w:val="single" w:color="auto" w:sz="4" w:space="0"/>
              <w:right w:val="single" w:color="auto" w:sz="4" w:space="0"/>
            </w:tcBorders>
            <w:noWrap w:val="0"/>
            <w:vAlign w:val="center"/>
          </w:tcPr>
          <w:p w14:paraId="179CB7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14:paraId="342AED49">
        <w:tblPrEx>
          <w:tblCellMar>
            <w:top w:w="0" w:type="dxa"/>
            <w:left w:w="108" w:type="dxa"/>
            <w:bottom w:w="0" w:type="dxa"/>
            <w:right w:w="108" w:type="dxa"/>
          </w:tblCellMar>
        </w:tblPrEx>
        <w:trPr>
          <w:jc w:val="center"/>
        </w:trPr>
        <w:tc>
          <w:tcPr>
            <w:tcW w:w="1058" w:type="dxa"/>
            <w:vMerge w:val="continue"/>
            <w:tcBorders>
              <w:top w:val="nil"/>
              <w:left w:val="single" w:color="auto" w:sz="4" w:space="0"/>
              <w:bottom w:val="single" w:color="000000" w:sz="4" w:space="0"/>
              <w:right w:val="single" w:color="auto" w:sz="4" w:space="0"/>
            </w:tcBorders>
            <w:noWrap w:val="0"/>
            <w:vAlign w:val="center"/>
          </w:tcPr>
          <w:p w14:paraId="6E007C4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18" w:type="dxa"/>
            <w:gridSpan w:val="2"/>
            <w:tcBorders>
              <w:top w:val="nil"/>
              <w:left w:val="nil"/>
              <w:bottom w:val="single" w:color="auto" w:sz="4" w:space="0"/>
              <w:right w:val="single" w:color="auto" w:sz="4" w:space="0"/>
            </w:tcBorders>
            <w:noWrap w:val="0"/>
            <w:vAlign w:val="center"/>
          </w:tcPr>
          <w:p w14:paraId="14C5D8E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344" w:type="dxa"/>
            <w:tcBorders>
              <w:top w:val="nil"/>
              <w:left w:val="nil"/>
              <w:bottom w:val="single" w:color="auto" w:sz="4" w:space="0"/>
              <w:right w:val="single" w:color="auto" w:sz="4" w:space="0"/>
            </w:tcBorders>
            <w:noWrap w:val="0"/>
            <w:vAlign w:val="center"/>
          </w:tcPr>
          <w:p w14:paraId="37B434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068" w:type="dxa"/>
            <w:tcBorders>
              <w:top w:val="nil"/>
              <w:left w:val="nil"/>
              <w:bottom w:val="single" w:color="auto" w:sz="4" w:space="0"/>
              <w:right w:val="single" w:color="auto" w:sz="4" w:space="0"/>
            </w:tcBorders>
            <w:noWrap w:val="0"/>
            <w:vAlign w:val="center"/>
          </w:tcPr>
          <w:p w14:paraId="56F229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25.83</w:t>
            </w:r>
          </w:p>
        </w:tc>
        <w:tc>
          <w:tcPr>
            <w:tcW w:w="1216" w:type="dxa"/>
            <w:tcBorders>
              <w:top w:val="nil"/>
              <w:left w:val="nil"/>
              <w:bottom w:val="single" w:color="auto" w:sz="4" w:space="0"/>
              <w:right w:val="single" w:color="auto" w:sz="4" w:space="0"/>
            </w:tcBorders>
            <w:noWrap w:val="0"/>
            <w:vAlign w:val="center"/>
          </w:tcPr>
          <w:p w14:paraId="290D66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25.83</w:t>
            </w:r>
          </w:p>
        </w:tc>
        <w:tc>
          <w:tcPr>
            <w:tcW w:w="814" w:type="dxa"/>
            <w:tcBorders>
              <w:top w:val="nil"/>
              <w:left w:val="nil"/>
              <w:bottom w:val="single" w:color="auto" w:sz="4" w:space="0"/>
              <w:right w:val="single" w:color="auto" w:sz="4" w:space="0"/>
            </w:tcBorders>
            <w:noWrap w:val="0"/>
            <w:vAlign w:val="center"/>
          </w:tcPr>
          <w:p w14:paraId="3432230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61" w:type="dxa"/>
            <w:tcBorders>
              <w:top w:val="nil"/>
              <w:left w:val="nil"/>
              <w:bottom w:val="single" w:color="auto" w:sz="4" w:space="0"/>
              <w:right w:val="single" w:color="auto" w:sz="4" w:space="0"/>
            </w:tcBorders>
            <w:noWrap w:val="0"/>
            <w:vAlign w:val="center"/>
          </w:tcPr>
          <w:p w14:paraId="40713D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372" w:type="dxa"/>
            <w:tcBorders>
              <w:top w:val="nil"/>
              <w:left w:val="nil"/>
              <w:bottom w:val="single" w:color="auto" w:sz="4" w:space="0"/>
              <w:right w:val="single" w:color="auto" w:sz="4" w:space="0"/>
            </w:tcBorders>
            <w:noWrap w:val="0"/>
            <w:vAlign w:val="center"/>
          </w:tcPr>
          <w:p w14:paraId="2B4D0E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3995B252">
        <w:tblPrEx>
          <w:tblCellMar>
            <w:top w:w="0" w:type="dxa"/>
            <w:left w:w="108" w:type="dxa"/>
            <w:bottom w:w="0" w:type="dxa"/>
            <w:right w:w="108" w:type="dxa"/>
          </w:tblCellMar>
        </w:tblPrEx>
        <w:trPr>
          <w:jc w:val="center"/>
        </w:trPr>
        <w:tc>
          <w:tcPr>
            <w:tcW w:w="1058" w:type="dxa"/>
            <w:vMerge w:val="continue"/>
            <w:tcBorders>
              <w:top w:val="nil"/>
              <w:left w:val="single" w:color="auto" w:sz="4" w:space="0"/>
              <w:bottom w:val="single" w:color="000000" w:sz="4" w:space="0"/>
              <w:right w:val="single" w:color="auto" w:sz="4" w:space="0"/>
            </w:tcBorders>
            <w:noWrap w:val="0"/>
            <w:vAlign w:val="center"/>
          </w:tcPr>
          <w:p w14:paraId="2FE6C50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18" w:type="dxa"/>
            <w:gridSpan w:val="2"/>
            <w:tcBorders>
              <w:top w:val="nil"/>
              <w:left w:val="nil"/>
              <w:bottom w:val="single" w:color="auto" w:sz="4" w:space="0"/>
              <w:right w:val="single" w:color="auto" w:sz="4" w:space="0"/>
            </w:tcBorders>
            <w:noWrap w:val="0"/>
            <w:vAlign w:val="center"/>
          </w:tcPr>
          <w:p w14:paraId="5AE04D15">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344" w:type="dxa"/>
            <w:tcBorders>
              <w:top w:val="nil"/>
              <w:left w:val="nil"/>
              <w:bottom w:val="single" w:color="auto" w:sz="4" w:space="0"/>
              <w:right w:val="single" w:color="auto" w:sz="4" w:space="0"/>
            </w:tcBorders>
            <w:noWrap w:val="0"/>
            <w:vAlign w:val="center"/>
          </w:tcPr>
          <w:p w14:paraId="64B37E4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68" w:type="dxa"/>
            <w:tcBorders>
              <w:top w:val="nil"/>
              <w:left w:val="nil"/>
              <w:bottom w:val="single" w:color="auto" w:sz="4" w:space="0"/>
              <w:right w:val="single" w:color="auto" w:sz="4" w:space="0"/>
            </w:tcBorders>
            <w:noWrap w:val="0"/>
            <w:vAlign w:val="center"/>
          </w:tcPr>
          <w:p w14:paraId="6203B44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16" w:type="dxa"/>
            <w:tcBorders>
              <w:top w:val="nil"/>
              <w:left w:val="nil"/>
              <w:bottom w:val="single" w:color="auto" w:sz="4" w:space="0"/>
              <w:right w:val="single" w:color="auto" w:sz="4" w:space="0"/>
            </w:tcBorders>
            <w:noWrap w:val="0"/>
            <w:vAlign w:val="center"/>
          </w:tcPr>
          <w:p w14:paraId="21AB31E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14" w:type="dxa"/>
            <w:tcBorders>
              <w:top w:val="nil"/>
              <w:left w:val="nil"/>
              <w:bottom w:val="single" w:color="auto" w:sz="4" w:space="0"/>
              <w:right w:val="single" w:color="auto" w:sz="4" w:space="0"/>
            </w:tcBorders>
            <w:noWrap w:val="0"/>
            <w:vAlign w:val="center"/>
          </w:tcPr>
          <w:p w14:paraId="3887107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61" w:type="dxa"/>
            <w:tcBorders>
              <w:top w:val="nil"/>
              <w:left w:val="nil"/>
              <w:bottom w:val="single" w:color="auto" w:sz="4" w:space="0"/>
              <w:right w:val="single" w:color="auto" w:sz="4" w:space="0"/>
            </w:tcBorders>
            <w:noWrap w:val="0"/>
            <w:vAlign w:val="center"/>
          </w:tcPr>
          <w:p w14:paraId="5FD4BC4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72" w:type="dxa"/>
            <w:tcBorders>
              <w:top w:val="nil"/>
              <w:left w:val="nil"/>
              <w:bottom w:val="single" w:color="auto" w:sz="4" w:space="0"/>
              <w:right w:val="single" w:color="auto" w:sz="4" w:space="0"/>
            </w:tcBorders>
            <w:noWrap w:val="0"/>
            <w:vAlign w:val="center"/>
          </w:tcPr>
          <w:p w14:paraId="052AA7D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C97FA68">
        <w:tblPrEx>
          <w:tblCellMar>
            <w:top w:w="0" w:type="dxa"/>
            <w:left w:w="108" w:type="dxa"/>
            <w:bottom w:w="0" w:type="dxa"/>
            <w:right w:w="108" w:type="dxa"/>
          </w:tblCellMar>
        </w:tblPrEx>
        <w:trPr>
          <w:jc w:val="center"/>
        </w:trPr>
        <w:tc>
          <w:tcPr>
            <w:tcW w:w="1058" w:type="dxa"/>
            <w:vMerge w:val="continue"/>
            <w:tcBorders>
              <w:top w:val="nil"/>
              <w:left w:val="single" w:color="auto" w:sz="4" w:space="0"/>
              <w:bottom w:val="single" w:color="000000" w:sz="4" w:space="0"/>
              <w:right w:val="single" w:color="auto" w:sz="4" w:space="0"/>
            </w:tcBorders>
            <w:noWrap w:val="0"/>
            <w:vAlign w:val="center"/>
          </w:tcPr>
          <w:p w14:paraId="074BF73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18" w:type="dxa"/>
            <w:gridSpan w:val="2"/>
            <w:tcBorders>
              <w:top w:val="nil"/>
              <w:left w:val="nil"/>
              <w:bottom w:val="single" w:color="auto" w:sz="4" w:space="0"/>
              <w:right w:val="single" w:color="auto" w:sz="4" w:space="0"/>
            </w:tcBorders>
            <w:noWrap w:val="0"/>
            <w:vAlign w:val="center"/>
          </w:tcPr>
          <w:p w14:paraId="77DA2C7C">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344" w:type="dxa"/>
            <w:tcBorders>
              <w:top w:val="nil"/>
              <w:left w:val="nil"/>
              <w:bottom w:val="single" w:color="auto" w:sz="4" w:space="0"/>
              <w:right w:val="single" w:color="auto" w:sz="4" w:space="0"/>
            </w:tcBorders>
            <w:noWrap w:val="0"/>
            <w:vAlign w:val="center"/>
          </w:tcPr>
          <w:p w14:paraId="6384822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68" w:type="dxa"/>
            <w:tcBorders>
              <w:top w:val="nil"/>
              <w:left w:val="nil"/>
              <w:bottom w:val="single" w:color="auto" w:sz="4" w:space="0"/>
              <w:right w:val="single" w:color="auto" w:sz="4" w:space="0"/>
            </w:tcBorders>
            <w:noWrap w:val="0"/>
            <w:vAlign w:val="center"/>
          </w:tcPr>
          <w:p w14:paraId="710BEB3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16" w:type="dxa"/>
            <w:tcBorders>
              <w:top w:val="nil"/>
              <w:left w:val="nil"/>
              <w:bottom w:val="single" w:color="auto" w:sz="4" w:space="0"/>
              <w:right w:val="single" w:color="auto" w:sz="4" w:space="0"/>
            </w:tcBorders>
            <w:noWrap w:val="0"/>
            <w:vAlign w:val="center"/>
          </w:tcPr>
          <w:p w14:paraId="2D19E38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14" w:type="dxa"/>
            <w:tcBorders>
              <w:top w:val="nil"/>
              <w:left w:val="nil"/>
              <w:bottom w:val="single" w:color="auto" w:sz="4" w:space="0"/>
              <w:right w:val="single" w:color="auto" w:sz="4" w:space="0"/>
            </w:tcBorders>
            <w:noWrap w:val="0"/>
            <w:vAlign w:val="center"/>
          </w:tcPr>
          <w:p w14:paraId="2E0BA88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61" w:type="dxa"/>
            <w:tcBorders>
              <w:top w:val="nil"/>
              <w:left w:val="nil"/>
              <w:bottom w:val="single" w:color="auto" w:sz="4" w:space="0"/>
              <w:right w:val="single" w:color="auto" w:sz="4" w:space="0"/>
            </w:tcBorders>
            <w:noWrap w:val="0"/>
            <w:vAlign w:val="center"/>
          </w:tcPr>
          <w:p w14:paraId="282A37B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72" w:type="dxa"/>
            <w:tcBorders>
              <w:top w:val="nil"/>
              <w:left w:val="nil"/>
              <w:bottom w:val="single" w:color="auto" w:sz="4" w:space="0"/>
              <w:right w:val="single" w:color="auto" w:sz="4" w:space="0"/>
            </w:tcBorders>
            <w:noWrap w:val="0"/>
            <w:vAlign w:val="center"/>
          </w:tcPr>
          <w:p w14:paraId="687F849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007C655">
        <w:tblPrEx>
          <w:tblCellMar>
            <w:top w:w="0" w:type="dxa"/>
            <w:left w:w="108" w:type="dxa"/>
            <w:bottom w:w="0" w:type="dxa"/>
            <w:right w:w="108" w:type="dxa"/>
          </w:tblCellMar>
        </w:tblPrEx>
        <w:trPr>
          <w:jc w:val="center"/>
        </w:trPr>
        <w:tc>
          <w:tcPr>
            <w:tcW w:w="1058" w:type="dxa"/>
            <w:vMerge w:val="restart"/>
            <w:tcBorders>
              <w:top w:val="nil"/>
              <w:left w:val="single" w:color="auto" w:sz="4" w:space="0"/>
              <w:bottom w:val="single" w:color="000000" w:sz="4" w:space="0"/>
              <w:right w:val="single" w:color="auto" w:sz="4" w:space="0"/>
            </w:tcBorders>
            <w:noWrap w:val="0"/>
            <w:vAlign w:val="center"/>
          </w:tcPr>
          <w:p w14:paraId="6F9D73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30" w:type="dxa"/>
            <w:gridSpan w:val="4"/>
            <w:tcBorders>
              <w:top w:val="single" w:color="auto" w:sz="4" w:space="0"/>
              <w:left w:val="nil"/>
              <w:bottom w:val="single" w:color="auto" w:sz="4" w:space="0"/>
              <w:right w:val="single" w:color="000000" w:sz="4" w:space="0"/>
            </w:tcBorders>
            <w:noWrap w:val="0"/>
            <w:vAlign w:val="center"/>
          </w:tcPr>
          <w:p w14:paraId="23DD53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63" w:type="dxa"/>
            <w:gridSpan w:val="4"/>
            <w:tcBorders>
              <w:top w:val="single" w:color="auto" w:sz="4" w:space="0"/>
              <w:left w:val="nil"/>
              <w:bottom w:val="single" w:color="auto" w:sz="4" w:space="0"/>
              <w:right w:val="single" w:color="auto" w:sz="4" w:space="0"/>
            </w:tcBorders>
            <w:noWrap w:val="0"/>
            <w:vAlign w:val="center"/>
          </w:tcPr>
          <w:p w14:paraId="297B000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388654D6">
        <w:tblPrEx>
          <w:tblCellMar>
            <w:top w:w="0" w:type="dxa"/>
            <w:left w:w="108" w:type="dxa"/>
            <w:bottom w:w="0" w:type="dxa"/>
            <w:right w:w="108" w:type="dxa"/>
          </w:tblCellMar>
        </w:tblPrEx>
        <w:trPr>
          <w:jc w:val="center"/>
        </w:trPr>
        <w:tc>
          <w:tcPr>
            <w:tcW w:w="1058" w:type="dxa"/>
            <w:vMerge w:val="continue"/>
            <w:tcBorders>
              <w:top w:val="nil"/>
              <w:left w:val="single" w:color="auto" w:sz="4" w:space="0"/>
              <w:bottom w:val="single" w:color="000000" w:sz="4" w:space="0"/>
              <w:right w:val="single" w:color="auto" w:sz="4" w:space="0"/>
            </w:tcBorders>
            <w:noWrap w:val="0"/>
            <w:vAlign w:val="center"/>
          </w:tcPr>
          <w:p w14:paraId="5E33AB1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30" w:type="dxa"/>
            <w:gridSpan w:val="4"/>
            <w:tcBorders>
              <w:top w:val="single" w:color="auto" w:sz="4" w:space="0"/>
              <w:left w:val="nil"/>
              <w:bottom w:val="single" w:color="auto" w:sz="4" w:space="0"/>
              <w:right w:val="single" w:color="000000" w:sz="4" w:space="0"/>
            </w:tcBorders>
            <w:noWrap w:val="0"/>
            <w:vAlign w:val="center"/>
          </w:tcPr>
          <w:p w14:paraId="57475E0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目标1、日常环境监管、执法工作；</w:t>
            </w:r>
          </w:p>
          <w:p w14:paraId="3A257F2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目标2、委托第三方进行执法性监督监测；</w:t>
            </w:r>
          </w:p>
          <w:p w14:paraId="60EC82C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目标3、环保迎检、应急处置经费；</w:t>
            </w:r>
          </w:p>
          <w:p w14:paraId="2C62FAA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目标4、节能环保宣传费用。</w:t>
            </w:r>
          </w:p>
        </w:tc>
        <w:tc>
          <w:tcPr>
            <w:tcW w:w="4263" w:type="dxa"/>
            <w:gridSpan w:val="4"/>
            <w:tcBorders>
              <w:top w:val="single" w:color="auto" w:sz="4" w:space="0"/>
              <w:left w:val="nil"/>
              <w:bottom w:val="single" w:color="auto" w:sz="4" w:space="0"/>
              <w:right w:val="single" w:color="auto" w:sz="4" w:space="0"/>
            </w:tcBorders>
            <w:noWrap w:val="0"/>
            <w:vAlign w:val="center"/>
          </w:tcPr>
          <w:p w14:paraId="6FEC283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已完成预期目标。</w:t>
            </w:r>
          </w:p>
        </w:tc>
      </w:tr>
      <w:tr w14:paraId="66FBE650">
        <w:tblPrEx>
          <w:tblCellMar>
            <w:top w:w="0" w:type="dxa"/>
            <w:left w:w="108" w:type="dxa"/>
            <w:bottom w:w="0" w:type="dxa"/>
            <w:right w:w="108" w:type="dxa"/>
          </w:tblCellMar>
        </w:tblPrEx>
        <w:trPr>
          <w:jc w:val="center"/>
        </w:trPr>
        <w:tc>
          <w:tcPr>
            <w:tcW w:w="1058" w:type="dxa"/>
            <w:vMerge w:val="restart"/>
            <w:tcBorders>
              <w:top w:val="nil"/>
              <w:left w:val="single" w:color="auto" w:sz="4" w:space="0"/>
              <w:right w:val="single" w:color="auto" w:sz="4" w:space="0"/>
            </w:tcBorders>
            <w:noWrap w:val="0"/>
            <w:vAlign w:val="center"/>
          </w:tcPr>
          <w:p w14:paraId="78F178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22046BB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712A7A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7E0437F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65" w:type="dxa"/>
            <w:tcBorders>
              <w:top w:val="nil"/>
              <w:left w:val="nil"/>
              <w:bottom w:val="single" w:color="auto" w:sz="4" w:space="0"/>
              <w:right w:val="single" w:color="auto" w:sz="4" w:space="0"/>
            </w:tcBorders>
            <w:noWrap w:val="0"/>
            <w:vAlign w:val="center"/>
          </w:tcPr>
          <w:p w14:paraId="5FBF85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53" w:type="dxa"/>
            <w:tcBorders>
              <w:top w:val="nil"/>
              <w:left w:val="nil"/>
              <w:bottom w:val="single" w:color="auto" w:sz="4" w:space="0"/>
              <w:right w:val="single" w:color="auto" w:sz="4" w:space="0"/>
            </w:tcBorders>
            <w:noWrap w:val="0"/>
            <w:vAlign w:val="center"/>
          </w:tcPr>
          <w:p w14:paraId="6123340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344" w:type="dxa"/>
            <w:tcBorders>
              <w:top w:val="nil"/>
              <w:left w:val="nil"/>
              <w:bottom w:val="single" w:color="auto" w:sz="4" w:space="0"/>
              <w:right w:val="single" w:color="auto" w:sz="4" w:space="0"/>
            </w:tcBorders>
            <w:noWrap w:val="0"/>
            <w:vAlign w:val="center"/>
          </w:tcPr>
          <w:p w14:paraId="3FF218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068" w:type="dxa"/>
            <w:tcBorders>
              <w:top w:val="nil"/>
              <w:left w:val="nil"/>
              <w:bottom w:val="single" w:color="auto" w:sz="4" w:space="0"/>
              <w:right w:val="single" w:color="auto" w:sz="4" w:space="0"/>
            </w:tcBorders>
            <w:noWrap w:val="0"/>
            <w:vAlign w:val="center"/>
          </w:tcPr>
          <w:p w14:paraId="6DD692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60593A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216" w:type="dxa"/>
            <w:tcBorders>
              <w:top w:val="nil"/>
              <w:left w:val="nil"/>
              <w:bottom w:val="single" w:color="auto" w:sz="4" w:space="0"/>
              <w:right w:val="single" w:color="auto" w:sz="4" w:space="0"/>
            </w:tcBorders>
            <w:noWrap w:val="0"/>
            <w:vAlign w:val="center"/>
          </w:tcPr>
          <w:p w14:paraId="140BA87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2DE0D28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14" w:type="dxa"/>
            <w:tcBorders>
              <w:top w:val="nil"/>
              <w:left w:val="nil"/>
              <w:bottom w:val="single" w:color="auto" w:sz="4" w:space="0"/>
              <w:right w:val="single" w:color="auto" w:sz="4" w:space="0"/>
            </w:tcBorders>
            <w:noWrap w:val="0"/>
            <w:vAlign w:val="center"/>
          </w:tcPr>
          <w:p w14:paraId="3E7EDD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61" w:type="dxa"/>
            <w:tcBorders>
              <w:top w:val="nil"/>
              <w:left w:val="nil"/>
              <w:bottom w:val="single" w:color="auto" w:sz="4" w:space="0"/>
              <w:right w:val="single" w:color="auto" w:sz="4" w:space="0"/>
            </w:tcBorders>
            <w:noWrap w:val="0"/>
            <w:vAlign w:val="center"/>
          </w:tcPr>
          <w:p w14:paraId="6F7C73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372" w:type="dxa"/>
            <w:tcBorders>
              <w:top w:val="nil"/>
              <w:left w:val="nil"/>
              <w:bottom w:val="single" w:color="auto" w:sz="4" w:space="0"/>
              <w:right w:val="single" w:color="auto" w:sz="4" w:space="0"/>
            </w:tcBorders>
            <w:noWrap w:val="0"/>
            <w:vAlign w:val="center"/>
          </w:tcPr>
          <w:p w14:paraId="59F09A5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6E3C7AA2">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14:paraId="6CB8B5E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5" w:type="dxa"/>
            <w:vMerge w:val="restart"/>
            <w:tcBorders>
              <w:top w:val="single" w:color="auto" w:sz="4" w:space="0"/>
              <w:left w:val="single" w:color="auto" w:sz="4" w:space="0"/>
              <w:bottom w:val="single" w:color="auto" w:sz="4" w:space="0"/>
              <w:right w:val="single" w:color="auto" w:sz="4" w:space="0"/>
            </w:tcBorders>
            <w:noWrap w:val="0"/>
            <w:vAlign w:val="center"/>
          </w:tcPr>
          <w:p w14:paraId="60D1B51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672EC61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5FAB2C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53" w:type="dxa"/>
            <w:vMerge w:val="restart"/>
            <w:tcBorders>
              <w:top w:val="single" w:color="auto" w:sz="4" w:space="0"/>
              <w:left w:val="single" w:color="auto" w:sz="4" w:space="0"/>
              <w:bottom w:val="single" w:color="auto" w:sz="4" w:space="0"/>
              <w:right w:val="single" w:color="auto" w:sz="4" w:space="0"/>
            </w:tcBorders>
            <w:noWrap w:val="0"/>
            <w:vAlign w:val="center"/>
          </w:tcPr>
          <w:p w14:paraId="663E0A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344" w:type="dxa"/>
            <w:tcBorders>
              <w:top w:val="single" w:color="auto" w:sz="4" w:space="0"/>
              <w:left w:val="single" w:color="auto" w:sz="4" w:space="0"/>
              <w:bottom w:val="single" w:color="auto" w:sz="4" w:space="0"/>
              <w:right w:val="single" w:color="auto" w:sz="4" w:space="0"/>
            </w:tcBorders>
            <w:noWrap w:val="0"/>
            <w:vAlign w:val="center"/>
          </w:tcPr>
          <w:p w14:paraId="4882DA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eastAsia="zh-CN"/>
              </w:rPr>
            </w:pPr>
            <w:r>
              <w:rPr>
                <w:rFonts w:hint="eastAsia" w:ascii="仿宋_GB2312" w:hAnsi="仿宋_GB2312" w:eastAsia="仿宋_GB2312" w:cs="仿宋_GB2312"/>
                <w:color w:val="000000"/>
                <w:sz w:val="18"/>
                <w:szCs w:val="18"/>
                <w:highlight w:val="none"/>
                <w:lang w:eastAsia="zh-CN"/>
              </w:rPr>
              <w:t>水体巡查</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4BBAB85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定期巡查</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72FE39F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已完成</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259669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861" w:type="dxa"/>
            <w:tcBorders>
              <w:top w:val="single" w:color="auto" w:sz="4" w:space="0"/>
              <w:left w:val="single" w:color="auto" w:sz="4" w:space="0"/>
              <w:bottom w:val="single" w:color="auto" w:sz="4" w:space="0"/>
              <w:right w:val="single" w:color="auto" w:sz="4" w:space="0"/>
            </w:tcBorders>
            <w:noWrap w:val="0"/>
            <w:vAlign w:val="center"/>
          </w:tcPr>
          <w:p w14:paraId="09AB60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372" w:type="dxa"/>
            <w:tcBorders>
              <w:top w:val="single" w:color="auto" w:sz="4" w:space="0"/>
              <w:left w:val="single" w:color="auto" w:sz="4" w:space="0"/>
              <w:bottom w:val="single" w:color="auto" w:sz="4" w:space="0"/>
              <w:right w:val="single" w:color="auto" w:sz="4" w:space="0"/>
            </w:tcBorders>
            <w:noWrap w:val="0"/>
            <w:vAlign w:val="center"/>
          </w:tcPr>
          <w:p w14:paraId="4F21E15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982894E">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14:paraId="7F6E76E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5" w:type="dxa"/>
            <w:vMerge w:val="continue"/>
            <w:tcBorders>
              <w:top w:val="single" w:color="auto" w:sz="4" w:space="0"/>
              <w:left w:val="single" w:color="auto" w:sz="4" w:space="0"/>
              <w:bottom w:val="single" w:color="auto" w:sz="4" w:space="0"/>
              <w:right w:val="single" w:color="auto" w:sz="4" w:space="0"/>
            </w:tcBorders>
            <w:noWrap w:val="0"/>
            <w:vAlign w:val="center"/>
          </w:tcPr>
          <w:p w14:paraId="093D256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3" w:type="dxa"/>
            <w:vMerge w:val="continue"/>
            <w:tcBorders>
              <w:top w:val="single" w:color="auto" w:sz="4" w:space="0"/>
              <w:left w:val="single" w:color="auto" w:sz="4" w:space="0"/>
              <w:bottom w:val="single" w:color="auto" w:sz="4" w:space="0"/>
              <w:right w:val="single" w:color="auto" w:sz="4" w:space="0"/>
            </w:tcBorders>
            <w:noWrap w:val="0"/>
            <w:vAlign w:val="center"/>
          </w:tcPr>
          <w:p w14:paraId="1B8F8DB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14:paraId="6676CD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lang w:eastAsia="zh-CN"/>
              </w:rPr>
            </w:pPr>
            <w:r>
              <w:rPr>
                <w:rFonts w:hint="eastAsia" w:ascii="仿宋_GB2312" w:hAnsi="仿宋_GB2312" w:eastAsia="仿宋_GB2312" w:cs="仿宋_GB2312"/>
                <w:color w:val="000000"/>
                <w:sz w:val="18"/>
                <w:szCs w:val="18"/>
                <w:highlight w:val="none"/>
                <w:lang w:eastAsia="zh-CN"/>
              </w:rPr>
              <w:t>保洁次数</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0D7F7F7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每月一次</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52C8B45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已完成</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68F4CC5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861" w:type="dxa"/>
            <w:tcBorders>
              <w:top w:val="single" w:color="auto" w:sz="4" w:space="0"/>
              <w:left w:val="single" w:color="auto" w:sz="4" w:space="0"/>
              <w:bottom w:val="single" w:color="auto" w:sz="4" w:space="0"/>
              <w:right w:val="single" w:color="auto" w:sz="4" w:space="0"/>
            </w:tcBorders>
            <w:noWrap w:val="0"/>
            <w:vAlign w:val="center"/>
          </w:tcPr>
          <w:p w14:paraId="73FAE5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372" w:type="dxa"/>
            <w:tcBorders>
              <w:top w:val="single" w:color="auto" w:sz="4" w:space="0"/>
              <w:left w:val="single" w:color="auto" w:sz="4" w:space="0"/>
              <w:bottom w:val="single" w:color="auto" w:sz="4" w:space="0"/>
              <w:right w:val="single" w:color="auto" w:sz="4" w:space="0"/>
            </w:tcBorders>
            <w:noWrap w:val="0"/>
            <w:vAlign w:val="center"/>
          </w:tcPr>
          <w:p w14:paraId="0A1F8F0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3D6A8BA">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14:paraId="3EAD6C3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5" w:type="dxa"/>
            <w:vMerge w:val="continue"/>
            <w:tcBorders>
              <w:top w:val="single" w:color="auto" w:sz="4" w:space="0"/>
              <w:left w:val="single" w:color="auto" w:sz="4" w:space="0"/>
              <w:bottom w:val="single" w:color="auto" w:sz="4" w:space="0"/>
              <w:right w:val="single" w:color="auto" w:sz="4" w:space="0"/>
            </w:tcBorders>
            <w:noWrap w:val="0"/>
            <w:vAlign w:val="center"/>
          </w:tcPr>
          <w:p w14:paraId="4D2BC4C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3" w:type="dxa"/>
            <w:tcBorders>
              <w:top w:val="single" w:color="auto" w:sz="4" w:space="0"/>
              <w:left w:val="single" w:color="auto" w:sz="4" w:space="0"/>
              <w:bottom w:val="single" w:color="auto" w:sz="4" w:space="0"/>
              <w:right w:val="single" w:color="auto" w:sz="4" w:space="0"/>
            </w:tcBorders>
            <w:noWrap w:val="0"/>
            <w:vAlign w:val="center"/>
          </w:tcPr>
          <w:p w14:paraId="46A935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344" w:type="dxa"/>
            <w:tcBorders>
              <w:top w:val="single" w:color="auto" w:sz="4" w:space="0"/>
              <w:left w:val="single" w:color="auto" w:sz="4" w:space="0"/>
              <w:bottom w:val="single" w:color="auto" w:sz="4" w:space="0"/>
              <w:right w:val="single" w:color="auto" w:sz="4" w:space="0"/>
            </w:tcBorders>
            <w:noWrap w:val="0"/>
            <w:vAlign w:val="center"/>
          </w:tcPr>
          <w:p w14:paraId="6E15D5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bidi="ar-SA"/>
              </w:rPr>
              <w:t>各种整治符合环保标准</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78D8AE2A">
            <w:pPr>
              <w:widowControl/>
              <w:spacing w:line="240" w:lineRule="exact"/>
              <w:jc w:val="center"/>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完成主要污染物减排目标</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22D92C48">
            <w:pPr>
              <w:widowControl/>
              <w:spacing w:line="240" w:lineRule="exact"/>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完成主要污染物减排目标</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18E85E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61" w:type="dxa"/>
            <w:tcBorders>
              <w:top w:val="single" w:color="auto" w:sz="4" w:space="0"/>
              <w:left w:val="single" w:color="auto" w:sz="4" w:space="0"/>
              <w:bottom w:val="single" w:color="auto" w:sz="4" w:space="0"/>
              <w:right w:val="single" w:color="auto" w:sz="4" w:space="0"/>
            </w:tcBorders>
            <w:noWrap w:val="0"/>
            <w:vAlign w:val="center"/>
          </w:tcPr>
          <w:p w14:paraId="570249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372" w:type="dxa"/>
            <w:tcBorders>
              <w:top w:val="single" w:color="auto" w:sz="4" w:space="0"/>
              <w:left w:val="single" w:color="auto" w:sz="4" w:space="0"/>
              <w:bottom w:val="single" w:color="auto" w:sz="4" w:space="0"/>
              <w:right w:val="single" w:color="auto" w:sz="4" w:space="0"/>
            </w:tcBorders>
            <w:noWrap w:val="0"/>
            <w:vAlign w:val="center"/>
          </w:tcPr>
          <w:p w14:paraId="3371D2A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814012E">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14:paraId="2380928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5" w:type="dxa"/>
            <w:vMerge w:val="continue"/>
            <w:tcBorders>
              <w:top w:val="single" w:color="auto" w:sz="4" w:space="0"/>
              <w:left w:val="single" w:color="auto" w:sz="4" w:space="0"/>
              <w:bottom w:val="single" w:color="auto" w:sz="4" w:space="0"/>
              <w:right w:val="single" w:color="auto" w:sz="4" w:space="0"/>
            </w:tcBorders>
            <w:noWrap w:val="0"/>
            <w:vAlign w:val="center"/>
          </w:tcPr>
          <w:p w14:paraId="6634B87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3" w:type="dxa"/>
            <w:vMerge w:val="restart"/>
            <w:tcBorders>
              <w:top w:val="single" w:color="auto" w:sz="4" w:space="0"/>
              <w:left w:val="single" w:color="auto" w:sz="4" w:space="0"/>
              <w:bottom w:val="single" w:color="auto" w:sz="4" w:space="0"/>
              <w:right w:val="single" w:color="auto" w:sz="4" w:space="0"/>
            </w:tcBorders>
            <w:noWrap w:val="0"/>
            <w:vAlign w:val="center"/>
          </w:tcPr>
          <w:p w14:paraId="4E1DA63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344" w:type="dxa"/>
            <w:tcBorders>
              <w:top w:val="single" w:color="auto" w:sz="4" w:space="0"/>
              <w:left w:val="single" w:color="auto" w:sz="4" w:space="0"/>
              <w:bottom w:val="single" w:color="auto" w:sz="4" w:space="0"/>
              <w:right w:val="single" w:color="auto" w:sz="4" w:space="0"/>
            </w:tcBorders>
            <w:noWrap w:val="0"/>
            <w:vAlign w:val="center"/>
          </w:tcPr>
          <w:p w14:paraId="25BFDA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sz w:val="18"/>
                <w:szCs w:val="18"/>
                <w:highlight w:val="none"/>
                <w:lang w:val="en-US" w:eastAsia="zh-CN"/>
              </w:rPr>
              <w:t>按期完成年初预算目标</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18184DC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2024/12/31</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1A2BCFC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2024/12/31</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6106AB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61" w:type="dxa"/>
            <w:tcBorders>
              <w:top w:val="single" w:color="auto" w:sz="4" w:space="0"/>
              <w:left w:val="single" w:color="auto" w:sz="4" w:space="0"/>
              <w:bottom w:val="single" w:color="auto" w:sz="4" w:space="0"/>
              <w:right w:val="single" w:color="auto" w:sz="4" w:space="0"/>
            </w:tcBorders>
            <w:noWrap w:val="0"/>
            <w:vAlign w:val="center"/>
          </w:tcPr>
          <w:p w14:paraId="15B4CFE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372" w:type="dxa"/>
            <w:tcBorders>
              <w:top w:val="single" w:color="auto" w:sz="4" w:space="0"/>
              <w:left w:val="single" w:color="auto" w:sz="4" w:space="0"/>
              <w:bottom w:val="single" w:color="auto" w:sz="4" w:space="0"/>
              <w:right w:val="single" w:color="auto" w:sz="4" w:space="0"/>
            </w:tcBorders>
            <w:noWrap w:val="0"/>
            <w:vAlign w:val="center"/>
          </w:tcPr>
          <w:p w14:paraId="3158E35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1EB478D">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14:paraId="09E41B3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5" w:type="dxa"/>
            <w:vMerge w:val="continue"/>
            <w:tcBorders>
              <w:top w:val="single" w:color="auto" w:sz="4" w:space="0"/>
              <w:left w:val="single" w:color="auto" w:sz="4" w:space="0"/>
              <w:bottom w:val="single" w:color="auto" w:sz="4" w:space="0"/>
              <w:right w:val="single" w:color="auto" w:sz="4" w:space="0"/>
            </w:tcBorders>
            <w:noWrap w:val="0"/>
            <w:vAlign w:val="center"/>
          </w:tcPr>
          <w:p w14:paraId="08D5801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3" w:type="dxa"/>
            <w:vMerge w:val="continue"/>
            <w:tcBorders>
              <w:top w:val="single" w:color="auto" w:sz="4" w:space="0"/>
              <w:left w:val="single" w:color="auto" w:sz="4" w:space="0"/>
              <w:bottom w:val="single" w:color="auto" w:sz="4" w:space="0"/>
              <w:right w:val="single" w:color="auto" w:sz="4" w:space="0"/>
            </w:tcBorders>
            <w:noWrap w:val="0"/>
            <w:vAlign w:val="center"/>
          </w:tcPr>
          <w:p w14:paraId="05B26F3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14:paraId="5D81E12D">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eastAsia="仿宋_GB2312"/>
                <w:kern w:val="0"/>
                <w:sz w:val="20"/>
                <w:szCs w:val="20"/>
                <w:lang w:val="en-US" w:eastAsia="zh-CN"/>
              </w:rPr>
              <w:t>突发事件</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26FF5422">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eastAsia="仿宋_GB2312"/>
                <w:kern w:val="0"/>
                <w:sz w:val="20"/>
                <w:szCs w:val="20"/>
                <w:lang w:eastAsia="zh-CN"/>
              </w:rPr>
              <w:t>即时完成</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4F0A2109">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按时完成</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773A51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61" w:type="dxa"/>
            <w:tcBorders>
              <w:top w:val="single" w:color="auto" w:sz="4" w:space="0"/>
              <w:left w:val="single" w:color="auto" w:sz="4" w:space="0"/>
              <w:bottom w:val="single" w:color="auto" w:sz="4" w:space="0"/>
              <w:right w:val="single" w:color="auto" w:sz="4" w:space="0"/>
            </w:tcBorders>
            <w:noWrap w:val="0"/>
            <w:vAlign w:val="center"/>
          </w:tcPr>
          <w:p w14:paraId="4474B4F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372" w:type="dxa"/>
            <w:tcBorders>
              <w:top w:val="single" w:color="auto" w:sz="4" w:space="0"/>
              <w:left w:val="single" w:color="auto" w:sz="4" w:space="0"/>
              <w:bottom w:val="single" w:color="auto" w:sz="4" w:space="0"/>
              <w:right w:val="single" w:color="auto" w:sz="4" w:space="0"/>
            </w:tcBorders>
            <w:noWrap w:val="0"/>
            <w:vAlign w:val="center"/>
          </w:tcPr>
          <w:p w14:paraId="436ADCF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3FDEE3E">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14:paraId="5AA6366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5" w:type="dxa"/>
            <w:vMerge w:val="continue"/>
            <w:tcBorders>
              <w:top w:val="single" w:color="auto" w:sz="4" w:space="0"/>
              <w:left w:val="single" w:color="auto" w:sz="4" w:space="0"/>
              <w:bottom w:val="single" w:color="auto" w:sz="4" w:space="0"/>
              <w:right w:val="single" w:color="auto" w:sz="4" w:space="0"/>
            </w:tcBorders>
            <w:noWrap w:val="0"/>
            <w:vAlign w:val="center"/>
          </w:tcPr>
          <w:p w14:paraId="157CF4F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3" w:type="dxa"/>
            <w:tcBorders>
              <w:top w:val="single" w:color="auto" w:sz="4" w:space="0"/>
              <w:left w:val="single" w:color="auto" w:sz="4" w:space="0"/>
              <w:bottom w:val="single" w:color="auto" w:sz="4" w:space="0"/>
              <w:right w:val="single" w:color="auto" w:sz="4" w:space="0"/>
            </w:tcBorders>
            <w:noWrap w:val="0"/>
            <w:vAlign w:val="center"/>
          </w:tcPr>
          <w:p w14:paraId="612C71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344" w:type="dxa"/>
            <w:tcBorders>
              <w:top w:val="single" w:color="auto" w:sz="4" w:space="0"/>
              <w:left w:val="single" w:color="auto" w:sz="4" w:space="0"/>
              <w:bottom w:val="single" w:color="auto" w:sz="4" w:space="0"/>
              <w:right w:val="single" w:color="auto" w:sz="4" w:space="0"/>
            </w:tcBorders>
            <w:noWrap w:val="0"/>
            <w:vAlign w:val="center"/>
          </w:tcPr>
          <w:p w14:paraId="3EEF84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highlight w:val="none"/>
              </w:rPr>
            </w:pPr>
            <w:r>
              <w:rPr>
                <w:rFonts w:hint="eastAsia" w:ascii="仿宋_GB2312" w:hAnsi="宋体" w:eastAsia="仿宋_GB2312" w:cs="仿宋_GB2312"/>
                <w:i w:val="0"/>
                <w:iCs w:val="0"/>
                <w:color w:val="000000"/>
                <w:kern w:val="0"/>
                <w:sz w:val="18"/>
                <w:szCs w:val="18"/>
                <w:u w:val="none"/>
                <w:lang w:val="en-US" w:eastAsia="zh-CN" w:bidi="ar"/>
              </w:rPr>
              <w:t>所有支出控制在预算内</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48636A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≤25.83万元</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479F505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25.83万元</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36AA98E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61" w:type="dxa"/>
            <w:tcBorders>
              <w:top w:val="single" w:color="auto" w:sz="4" w:space="0"/>
              <w:left w:val="single" w:color="auto" w:sz="4" w:space="0"/>
              <w:bottom w:val="single" w:color="auto" w:sz="4" w:space="0"/>
              <w:right w:val="single" w:color="auto" w:sz="4" w:space="0"/>
            </w:tcBorders>
            <w:noWrap w:val="0"/>
            <w:vAlign w:val="center"/>
          </w:tcPr>
          <w:p w14:paraId="3833BF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372" w:type="dxa"/>
            <w:tcBorders>
              <w:top w:val="single" w:color="auto" w:sz="4" w:space="0"/>
              <w:left w:val="single" w:color="auto" w:sz="4" w:space="0"/>
              <w:bottom w:val="single" w:color="auto" w:sz="4" w:space="0"/>
              <w:right w:val="single" w:color="auto" w:sz="4" w:space="0"/>
            </w:tcBorders>
            <w:noWrap w:val="0"/>
            <w:vAlign w:val="center"/>
          </w:tcPr>
          <w:p w14:paraId="0E075F4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9E947A9">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14:paraId="1351222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5" w:type="dxa"/>
            <w:vMerge w:val="restart"/>
            <w:tcBorders>
              <w:top w:val="single" w:color="auto" w:sz="4" w:space="0"/>
              <w:left w:val="single" w:color="auto" w:sz="4" w:space="0"/>
              <w:bottom w:val="single" w:color="auto" w:sz="4" w:space="0"/>
              <w:right w:val="single" w:color="auto" w:sz="4" w:space="0"/>
            </w:tcBorders>
            <w:noWrap w:val="0"/>
            <w:vAlign w:val="center"/>
          </w:tcPr>
          <w:p w14:paraId="6C7674F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1FE257C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465C575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35A343C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53" w:type="dxa"/>
            <w:tcBorders>
              <w:top w:val="single" w:color="auto" w:sz="4" w:space="0"/>
              <w:left w:val="single" w:color="auto" w:sz="4" w:space="0"/>
              <w:bottom w:val="single" w:color="auto" w:sz="4" w:space="0"/>
              <w:right w:val="single" w:color="auto" w:sz="4" w:space="0"/>
            </w:tcBorders>
            <w:noWrap w:val="0"/>
            <w:vAlign w:val="center"/>
          </w:tcPr>
          <w:p w14:paraId="6A96D8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004984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344" w:type="dxa"/>
            <w:tcBorders>
              <w:top w:val="single" w:color="auto" w:sz="4" w:space="0"/>
              <w:left w:val="single" w:color="auto" w:sz="4" w:space="0"/>
              <w:bottom w:val="single" w:color="auto" w:sz="4" w:space="0"/>
              <w:right w:val="single" w:color="auto" w:sz="4" w:space="0"/>
            </w:tcBorders>
            <w:noWrap w:val="0"/>
            <w:vAlign w:val="center"/>
          </w:tcPr>
          <w:p w14:paraId="526F6F3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实现节能减排，减少环保治理经费</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7A92B08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有效改善</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21DB97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有效改善</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1CC97F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61" w:type="dxa"/>
            <w:tcBorders>
              <w:top w:val="single" w:color="auto" w:sz="4" w:space="0"/>
              <w:left w:val="single" w:color="auto" w:sz="4" w:space="0"/>
              <w:bottom w:val="single" w:color="auto" w:sz="4" w:space="0"/>
              <w:right w:val="single" w:color="auto" w:sz="4" w:space="0"/>
            </w:tcBorders>
            <w:noWrap w:val="0"/>
            <w:vAlign w:val="center"/>
          </w:tcPr>
          <w:p w14:paraId="37F6006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372" w:type="dxa"/>
            <w:tcBorders>
              <w:top w:val="single" w:color="auto" w:sz="4" w:space="0"/>
              <w:left w:val="single" w:color="auto" w:sz="4" w:space="0"/>
              <w:bottom w:val="single" w:color="auto" w:sz="4" w:space="0"/>
              <w:right w:val="single" w:color="auto" w:sz="4" w:space="0"/>
            </w:tcBorders>
            <w:noWrap w:val="0"/>
            <w:vAlign w:val="center"/>
          </w:tcPr>
          <w:p w14:paraId="16EDF69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0C46204">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14:paraId="474364F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5" w:type="dxa"/>
            <w:vMerge w:val="continue"/>
            <w:tcBorders>
              <w:top w:val="single" w:color="auto" w:sz="4" w:space="0"/>
              <w:left w:val="single" w:color="auto" w:sz="4" w:space="0"/>
              <w:bottom w:val="single" w:color="auto" w:sz="4" w:space="0"/>
              <w:right w:val="single" w:color="auto" w:sz="4" w:space="0"/>
            </w:tcBorders>
            <w:noWrap w:val="0"/>
            <w:vAlign w:val="center"/>
          </w:tcPr>
          <w:p w14:paraId="62FF243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3" w:type="dxa"/>
            <w:tcBorders>
              <w:top w:val="single" w:color="auto" w:sz="4" w:space="0"/>
              <w:left w:val="single" w:color="auto" w:sz="4" w:space="0"/>
              <w:bottom w:val="single" w:color="auto" w:sz="4" w:space="0"/>
              <w:right w:val="single" w:color="auto" w:sz="4" w:space="0"/>
            </w:tcBorders>
            <w:noWrap w:val="0"/>
            <w:vAlign w:val="center"/>
          </w:tcPr>
          <w:p w14:paraId="2C845D5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45B8A6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344" w:type="dxa"/>
            <w:tcBorders>
              <w:top w:val="single" w:color="auto" w:sz="4" w:space="0"/>
              <w:left w:val="single" w:color="auto" w:sz="4" w:space="0"/>
              <w:bottom w:val="single" w:color="auto" w:sz="4" w:space="0"/>
              <w:right w:val="single" w:color="auto" w:sz="4" w:space="0"/>
            </w:tcBorders>
            <w:noWrap w:val="0"/>
            <w:vAlign w:val="center"/>
          </w:tcPr>
          <w:p w14:paraId="04DDDD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sz w:val="18"/>
                <w:szCs w:val="18"/>
                <w:highlight w:val="none"/>
              </w:rPr>
              <w:t>改善辖区环境质量及群众生产生活环境，达到环境质量控制目标</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4292CD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有效改善</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1970FB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有效改善</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0A4E2F5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61" w:type="dxa"/>
            <w:tcBorders>
              <w:top w:val="single" w:color="auto" w:sz="4" w:space="0"/>
              <w:left w:val="single" w:color="auto" w:sz="4" w:space="0"/>
              <w:bottom w:val="single" w:color="auto" w:sz="4" w:space="0"/>
              <w:right w:val="single" w:color="auto" w:sz="4" w:space="0"/>
            </w:tcBorders>
            <w:noWrap w:val="0"/>
            <w:vAlign w:val="center"/>
          </w:tcPr>
          <w:p w14:paraId="31D978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372" w:type="dxa"/>
            <w:tcBorders>
              <w:top w:val="single" w:color="auto" w:sz="4" w:space="0"/>
              <w:left w:val="single" w:color="auto" w:sz="4" w:space="0"/>
              <w:bottom w:val="single" w:color="auto" w:sz="4" w:space="0"/>
              <w:right w:val="single" w:color="auto" w:sz="4" w:space="0"/>
            </w:tcBorders>
            <w:noWrap w:val="0"/>
            <w:vAlign w:val="center"/>
          </w:tcPr>
          <w:p w14:paraId="1C831CA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1953A20">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14:paraId="5C2D98E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5" w:type="dxa"/>
            <w:vMerge w:val="continue"/>
            <w:tcBorders>
              <w:top w:val="single" w:color="auto" w:sz="4" w:space="0"/>
              <w:left w:val="single" w:color="auto" w:sz="4" w:space="0"/>
              <w:bottom w:val="single" w:color="auto" w:sz="4" w:space="0"/>
              <w:right w:val="single" w:color="auto" w:sz="4" w:space="0"/>
            </w:tcBorders>
            <w:noWrap w:val="0"/>
            <w:vAlign w:val="center"/>
          </w:tcPr>
          <w:p w14:paraId="018E0E8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3" w:type="dxa"/>
            <w:vMerge w:val="restart"/>
            <w:tcBorders>
              <w:top w:val="single" w:color="auto" w:sz="4" w:space="0"/>
              <w:left w:val="single" w:color="auto" w:sz="4" w:space="0"/>
              <w:right w:val="single" w:color="auto" w:sz="4" w:space="0"/>
            </w:tcBorders>
            <w:noWrap w:val="0"/>
            <w:vAlign w:val="center"/>
          </w:tcPr>
          <w:p w14:paraId="111EC4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2916DA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344" w:type="dxa"/>
            <w:tcBorders>
              <w:top w:val="single" w:color="auto" w:sz="4" w:space="0"/>
              <w:left w:val="single" w:color="auto" w:sz="4" w:space="0"/>
              <w:bottom w:val="single" w:color="auto" w:sz="4" w:space="0"/>
              <w:right w:val="single" w:color="auto" w:sz="4" w:space="0"/>
            </w:tcBorders>
            <w:noWrap w:val="0"/>
            <w:vAlign w:val="center"/>
          </w:tcPr>
          <w:p w14:paraId="5F5875F5">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eastAsia="仿宋_GB2312"/>
                <w:kern w:val="0"/>
                <w:sz w:val="20"/>
                <w:szCs w:val="20"/>
                <w:lang w:eastAsia="zh-CN"/>
              </w:rPr>
              <w:t>促进环境质量认知度</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05DD0173">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eastAsia="仿宋_GB2312"/>
                <w:kern w:val="0"/>
                <w:sz w:val="20"/>
                <w:szCs w:val="20"/>
                <w:lang w:eastAsia="zh-CN"/>
              </w:rPr>
              <w:t>有所改善</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351BB482">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eastAsia="仿宋_GB2312"/>
                <w:kern w:val="0"/>
                <w:sz w:val="20"/>
                <w:szCs w:val="20"/>
                <w:lang w:eastAsia="zh-CN"/>
              </w:rPr>
              <w:t>有所改善</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69A389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61" w:type="dxa"/>
            <w:tcBorders>
              <w:top w:val="single" w:color="auto" w:sz="4" w:space="0"/>
              <w:left w:val="single" w:color="auto" w:sz="4" w:space="0"/>
              <w:bottom w:val="single" w:color="auto" w:sz="4" w:space="0"/>
              <w:right w:val="single" w:color="auto" w:sz="4" w:space="0"/>
            </w:tcBorders>
            <w:noWrap w:val="0"/>
            <w:vAlign w:val="center"/>
          </w:tcPr>
          <w:p w14:paraId="1C700F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372" w:type="dxa"/>
            <w:tcBorders>
              <w:top w:val="single" w:color="auto" w:sz="4" w:space="0"/>
              <w:left w:val="single" w:color="auto" w:sz="4" w:space="0"/>
              <w:bottom w:val="single" w:color="auto" w:sz="4" w:space="0"/>
              <w:right w:val="single" w:color="auto" w:sz="4" w:space="0"/>
            </w:tcBorders>
            <w:noWrap w:val="0"/>
            <w:vAlign w:val="center"/>
          </w:tcPr>
          <w:p w14:paraId="5E3AEF7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6D26BFB">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14:paraId="2E8352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65" w:type="dxa"/>
            <w:vMerge w:val="continue"/>
            <w:tcBorders>
              <w:top w:val="single" w:color="auto" w:sz="4" w:space="0"/>
              <w:left w:val="single" w:color="auto" w:sz="4" w:space="0"/>
              <w:bottom w:val="single" w:color="auto" w:sz="4" w:space="0"/>
              <w:right w:val="single" w:color="auto" w:sz="4" w:space="0"/>
            </w:tcBorders>
            <w:noWrap w:val="0"/>
            <w:vAlign w:val="center"/>
          </w:tcPr>
          <w:p w14:paraId="26AD125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3" w:type="dxa"/>
            <w:vMerge w:val="continue"/>
            <w:tcBorders>
              <w:left w:val="single" w:color="auto" w:sz="4" w:space="0"/>
              <w:bottom w:val="single" w:color="auto" w:sz="4" w:space="0"/>
              <w:right w:val="single" w:color="auto" w:sz="4" w:space="0"/>
            </w:tcBorders>
            <w:noWrap w:val="0"/>
            <w:vAlign w:val="center"/>
          </w:tcPr>
          <w:p w14:paraId="28D536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14:paraId="250609C6">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本区的环境质量得到持续改善</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42CD2578">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有可持续影响</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6F1DEC73">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本区的环境质量得到持续改善</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2A2836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861" w:type="dxa"/>
            <w:tcBorders>
              <w:top w:val="single" w:color="auto" w:sz="4" w:space="0"/>
              <w:left w:val="single" w:color="auto" w:sz="4" w:space="0"/>
              <w:bottom w:val="single" w:color="auto" w:sz="4" w:space="0"/>
              <w:right w:val="single" w:color="auto" w:sz="4" w:space="0"/>
            </w:tcBorders>
            <w:noWrap w:val="0"/>
            <w:vAlign w:val="center"/>
          </w:tcPr>
          <w:p w14:paraId="4146527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372" w:type="dxa"/>
            <w:tcBorders>
              <w:top w:val="single" w:color="auto" w:sz="4" w:space="0"/>
              <w:left w:val="single" w:color="auto" w:sz="4" w:space="0"/>
              <w:bottom w:val="single" w:color="auto" w:sz="4" w:space="0"/>
              <w:right w:val="single" w:color="auto" w:sz="4" w:space="0"/>
            </w:tcBorders>
            <w:noWrap w:val="0"/>
            <w:vAlign w:val="center"/>
          </w:tcPr>
          <w:p w14:paraId="12C0B5D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1617AAB5">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14:paraId="68D67C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65" w:type="dxa"/>
            <w:vMerge w:val="continue"/>
            <w:tcBorders>
              <w:top w:val="single" w:color="auto" w:sz="4" w:space="0"/>
              <w:left w:val="single" w:color="auto" w:sz="4" w:space="0"/>
              <w:bottom w:val="single" w:color="auto" w:sz="4" w:space="0"/>
              <w:right w:val="single" w:color="auto" w:sz="4" w:space="0"/>
            </w:tcBorders>
            <w:noWrap w:val="0"/>
            <w:vAlign w:val="center"/>
          </w:tcPr>
          <w:p w14:paraId="09361FE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3" w:type="dxa"/>
            <w:tcBorders>
              <w:top w:val="single" w:color="auto" w:sz="4" w:space="0"/>
              <w:left w:val="single" w:color="auto" w:sz="4" w:space="0"/>
              <w:bottom w:val="single" w:color="auto" w:sz="4" w:space="0"/>
              <w:right w:val="single" w:color="auto" w:sz="4" w:space="0"/>
            </w:tcBorders>
            <w:noWrap w:val="0"/>
            <w:vAlign w:val="center"/>
          </w:tcPr>
          <w:p w14:paraId="3438049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344" w:type="dxa"/>
            <w:tcBorders>
              <w:top w:val="single" w:color="auto" w:sz="4" w:space="0"/>
              <w:left w:val="single" w:color="auto" w:sz="4" w:space="0"/>
              <w:bottom w:val="single" w:color="auto" w:sz="4" w:space="0"/>
              <w:right w:val="single" w:color="auto" w:sz="4" w:space="0"/>
            </w:tcBorders>
            <w:noWrap w:val="0"/>
            <w:vAlign w:val="center"/>
          </w:tcPr>
          <w:p w14:paraId="2A6476C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bidi="ar-SA"/>
              </w:rPr>
              <w:t>让群众参与进长效管护机制</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0F3619C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效果显著</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4E3F87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效果显著</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057747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61" w:type="dxa"/>
            <w:tcBorders>
              <w:top w:val="single" w:color="auto" w:sz="4" w:space="0"/>
              <w:left w:val="single" w:color="auto" w:sz="4" w:space="0"/>
              <w:bottom w:val="single" w:color="auto" w:sz="4" w:space="0"/>
              <w:right w:val="single" w:color="auto" w:sz="4" w:space="0"/>
            </w:tcBorders>
            <w:noWrap w:val="0"/>
            <w:vAlign w:val="center"/>
          </w:tcPr>
          <w:p w14:paraId="07836B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372" w:type="dxa"/>
            <w:tcBorders>
              <w:top w:val="single" w:color="auto" w:sz="4" w:space="0"/>
              <w:left w:val="single" w:color="auto" w:sz="4" w:space="0"/>
              <w:bottom w:val="single" w:color="auto" w:sz="4" w:space="0"/>
              <w:right w:val="single" w:color="auto" w:sz="4" w:space="0"/>
            </w:tcBorders>
            <w:noWrap w:val="0"/>
            <w:vAlign w:val="center"/>
          </w:tcPr>
          <w:p w14:paraId="35858E5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A7A3875">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14:paraId="5086EE6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044518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2F1C7C8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076629A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53" w:type="dxa"/>
            <w:tcBorders>
              <w:top w:val="single" w:color="auto" w:sz="4" w:space="0"/>
              <w:left w:val="single" w:color="auto" w:sz="4" w:space="0"/>
              <w:bottom w:val="single" w:color="auto" w:sz="4" w:space="0"/>
              <w:right w:val="single" w:color="auto" w:sz="4" w:space="0"/>
            </w:tcBorders>
            <w:noWrap w:val="0"/>
            <w:vAlign w:val="center"/>
          </w:tcPr>
          <w:p w14:paraId="5768B76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344" w:type="dxa"/>
            <w:tcBorders>
              <w:top w:val="single" w:color="auto" w:sz="4" w:space="0"/>
              <w:left w:val="single" w:color="auto" w:sz="4" w:space="0"/>
              <w:bottom w:val="single" w:color="auto" w:sz="4" w:space="0"/>
              <w:right w:val="single" w:color="auto" w:sz="4" w:space="0"/>
            </w:tcBorders>
            <w:noWrap w:val="0"/>
            <w:vAlign w:val="center"/>
          </w:tcPr>
          <w:p w14:paraId="12AC3D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群众满意率</w:t>
            </w:r>
          </w:p>
        </w:tc>
        <w:tc>
          <w:tcPr>
            <w:tcW w:w="1068" w:type="dxa"/>
            <w:tcBorders>
              <w:top w:val="single" w:color="auto" w:sz="4" w:space="0"/>
              <w:left w:val="single" w:color="auto" w:sz="4" w:space="0"/>
              <w:bottom w:val="single" w:color="auto" w:sz="4" w:space="0"/>
              <w:right w:val="single" w:color="auto" w:sz="4" w:space="0"/>
            </w:tcBorders>
            <w:noWrap w:val="0"/>
            <w:vAlign w:val="center"/>
          </w:tcPr>
          <w:p w14:paraId="18FD508A">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≥95%</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23FF4DD8">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w:t>
            </w:r>
            <w:r>
              <w:rPr>
                <w:rFonts w:hint="eastAsia" w:ascii="仿宋_GB2312" w:hAnsi="仿宋_GB2312" w:eastAsia="仿宋_GB2312" w:cs="仿宋_GB2312"/>
                <w:color w:val="000000"/>
                <w:sz w:val="20"/>
                <w:szCs w:val="20"/>
                <w:lang w:val="en-US" w:eastAsia="zh-CN"/>
              </w:rPr>
              <w:t>9</w:t>
            </w:r>
            <w:r>
              <w:rPr>
                <w:rFonts w:hint="eastAsia" w:ascii="仿宋_GB2312" w:hAnsi="宋体" w:eastAsia="仿宋_GB2312" w:cs="仿宋_GB2312"/>
                <w:i w:val="0"/>
                <w:iCs w:val="0"/>
                <w:color w:val="000000"/>
                <w:kern w:val="0"/>
                <w:sz w:val="20"/>
                <w:szCs w:val="20"/>
                <w:u w:val="none"/>
                <w:lang w:val="en-US" w:eastAsia="zh-CN" w:bidi="ar"/>
              </w:rPr>
              <w:t>5%</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32657F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61" w:type="dxa"/>
            <w:tcBorders>
              <w:top w:val="single" w:color="auto" w:sz="4" w:space="0"/>
              <w:left w:val="single" w:color="auto" w:sz="4" w:space="0"/>
              <w:bottom w:val="single" w:color="auto" w:sz="4" w:space="0"/>
              <w:right w:val="single" w:color="auto" w:sz="4" w:space="0"/>
            </w:tcBorders>
            <w:noWrap w:val="0"/>
            <w:vAlign w:val="center"/>
          </w:tcPr>
          <w:p w14:paraId="6BF3EB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372" w:type="dxa"/>
            <w:tcBorders>
              <w:top w:val="single" w:color="auto" w:sz="4" w:space="0"/>
              <w:left w:val="single" w:color="auto" w:sz="4" w:space="0"/>
              <w:bottom w:val="single" w:color="auto" w:sz="4" w:space="0"/>
              <w:right w:val="single" w:color="auto" w:sz="4" w:space="0"/>
            </w:tcBorders>
            <w:noWrap w:val="0"/>
            <w:vAlign w:val="center"/>
          </w:tcPr>
          <w:p w14:paraId="680EEBF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098C54E">
        <w:tblPrEx>
          <w:tblCellMar>
            <w:top w:w="0" w:type="dxa"/>
            <w:left w:w="108" w:type="dxa"/>
            <w:bottom w:w="0" w:type="dxa"/>
            <w:right w:w="108" w:type="dxa"/>
          </w:tblCellMar>
        </w:tblPrEx>
        <w:trPr>
          <w:jc w:val="center"/>
        </w:trPr>
        <w:tc>
          <w:tcPr>
            <w:tcW w:w="6804" w:type="dxa"/>
            <w:gridSpan w:val="6"/>
            <w:tcBorders>
              <w:top w:val="single" w:color="auto" w:sz="4" w:space="0"/>
              <w:left w:val="single" w:color="auto" w:sz="4" w:space="0"/>
              <w:bottom w:val="single" w:color="auto" w:sz="4" w:space="0"/>
              <w:right w:val="single" w:color="auto" w:sz="4" w:space="0"/>
            </w:tcBorders>
            <w:noWrap w:val="0"/>
            <w:vAlign w:val="center"/>
          </w:tcPr>
          <w:p w14:paraId="6382D4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6FF703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61" w:type="dxa"/>
            <w:tcBorders>
              <w:top w:val="single" w:color="auto" w:sz="4" w:space="0"/>
              <w:left w:val="single" w:color="auto" w:sz="4" w:space="0"/>
              <w:bottom w:val="single" w:color="auto" w:sz="4" w:space="0"/>
              <w:right w:val="single" w:color="auto" w:sz="4" w:space="0"/>
            </w:tcBorders>
            <w:noWrap w:val="0"/>
            <w:vAlign w:val="center"/>
          </w:tcPr>
          <w:p w14:paraId="77D023C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372" w:type="dxa"/>
            <w:tcBorders>
              <w:top w:val="single" w:color="auto" w:sz="4" w:space="0"/>
              <w:left w:val="single" w:color="auto" w:sz="4" w:space="0"/>
              <w:bottom w:val="single" w:color="auto" w:sz="4" w:space="0"/>
              <w:right w:val="single" w:color="auto" w:sz="4" w:space="0"/>
            </w:tcBorders>
            <w:noWrap w:val="0"/>
            <w:vAlign w:val="center"/>
          </w:tcPr>
          <w:p w14:paraId="12ED7A7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2BDB4014">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6EFED037">
      <w:pPr>
        <w:rPr>
          <w:rFonts w:hint="eastAsia" w:ascii="黑体" w:hAnsi="黑体" w:eastAsia="黑体" w:cs="黑体"/>
          <w:sz w:val="32"/>
          <w:szCs w:val="32"/>
          <w:highlight w:val="none"/>
          <w:lang w:val="en-US" w:eastAsia="zh-CN"/>
        </w:r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4</w:t>
      </w:r>
    </w:p>
    <w:p w14:paraId="382C6BC0">
      <w:pPr>
        <w:jc w:val="center"/>
        <w:rPr>
          <w:rFonts w:hint="default" w:ascii="Times New Roman" w:hAnsi="Times New Roman" w:eastAsia="方正小标宋_GBK" w:cs="Times New Roman"/>
          <w:sz w:val="52"/>
          <w:szCs w:val="52"/>
          <w:highlight w:val="none"/>
        </w:rPr>
      </w:pPr>
    </w:p>
    <w:p w14:paraId="7CAFC16E">
      <w:pPr>
        <w:jc w:val="center"/>
        <w:rPr>
          <w:rFonts w:hint="default"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年度</w:t>
      </w:r>
      <w:r>
        <w:rPr>
          <w:rFonts w:hint="default" w:ascii="方正小标宋简体" w:hAnsi="方正小标宋简体" w:eastAsia="方正小标宋简体" w:cs="方正小标宋简体"/>
          <w:sz w:val="44"/>
          <w:szCs w:val="44"/>
          <w:highlight w:val="none"/>
          <w:lang w:eastAsia="zh-CN"/>
        </w:rPr>
        <w:t>岳阳市生态环境局屈原分局</w:t>
      </w:r>
    </w:p>
    <w:p w14:paraId="2C7478F3">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整体支出绩效自评报告</w:t>
      </w:r>
    </w:p>
    <w:p w14:paraId="54EF6F68">
      <w:pPr>
        <w:jc w:val="center"/>
        <w:rPr>
          <w:rFonts w:hint="default" w:ascii="Times New Roman" w:hAnsi="Times New Roman" w:eastAsia="方正小标宋_GBK" w:cs="Times New Roman"/>
          <w:b/>
          <w:sz w:val="52"/>
          <w:szCs w:val="52"/>
          <w:highlight w:val="none"/>
        </w:rPr>
      </w:pPr>
    </w:p>
    <w:p w14:paraId="5A492387">
      <w:pPr>
        <w:jc w:val="center"/>
        <w:rPr>
          <w:rFonts w:hint="default" w:ascii="Times New Roman" w:hAnsi="Times New Roman" w:eastAsia="楷体_GB2312" w:cs="Times New Roman"/>
          <w:b/>
          <w:sz w:val="32"/>
          <w:szCs w:val="32"/>
          <w:highlight w:val="none"/>
        </w:rPr>
      </w:pPr>
    </w:p>
    <w:p w14:paraId="4F492AE1">
      <w:pPr>
        <w:jc w:val="center"/>
        <w:rPr>
          <w:rFonts w:hint="default" w:ascii="Times New Roman" w:hAnsi="Times New Roman" w:eastAsia="楷体_GB2312" w:cs="Times New Roman"/>
          <w:b/>
          <w:sz w:val="32"/>
          <w:szCs w:val="32"/>
          <w:highlight w:val="none"/>
        </w:rPr>
      </w:pPr>
    </w:p>
    <w:p w14:paraId="64DB745D">
      <w:pPr>
        <w:jc w:val="center"/>
        <w:rPr>
          <w:rFonts w:hint="default" w:ascii="Times New Roman" w:hAnsi="Times New Roman" w:eastAsia="楷体_GB2312" w:cs="Times New Roman"/>
          <w:b/>
          <w:sz w:val="32"/>
          <w:szCs w:val="32"/>
          <w:highlight w:val="none"/>
        </w:rPr>
      </w:pPr>
    </w:p>
    <w:p w14:paraId="0183D4E1">
      <w:pPr>
        <w:jc w:val="center"/>
        <w:rPr>
          <w:rFonts w:hint="default" w:ascii="Times New Roman" w:hAnsi="Times New Roman" w:eastAsia="楷体_GB2312" w:cs="Times New Roman"/>
          <w:b/>
          <w:sz w:val="32"/>
          <w:szCs w:val="32"/>
          <w:highlight w:val="none"/>
        </w:rPr>
      </w:pPr>
    </w:p>
    <w:p w14:paraId="38E8D430">
      <w:pPr>
        <w:jc w:val="center"/>
        <w:rPr>
          <w:rFonts w:hint="default" w:ascii="Times New Roman" w:hAnsi="Times New Roman" w:eastAsia="楷体_GB2312" w:cs="Times New Roman"/>
          <w:b/>
          <w:sz w:val="32"/>
          <w:szCs w:val="32"/>
          <w:highlight w:val="none"/>
        </w:rPr>
      </w:pPr>
    </w:p>
    <w:p w14:paraId="3ADE435E">
      <w:pPr>
        <w:jc w:val="center"/>
        <w:rPr>
          <w:rFonts w:hint="default" w:ascii="Times New Roman" w:hAnsi="Times New Roman" w:eastAsia="楷体_GB2312" w:cs="Times New Roman"/>
          <w:b/>
          <w:sz w:val="32"/>
          <w:szCs w:val="32"/>
          <w:highlight w:val="none"/>
        </w:rPr>
      </w:pPr>
    </w:p>
    <w:p w14:paraId="0E1473F1">
      <w:pPr>
        <w:jc w:val="center"/>
        <w:rPr>
          <w:rFonts w:hint="default" w:ascii="Times New Roman" w:hAnsi="Times New Roman" w:eastAsia="黑体" w:cs="Times New Roman"/>
          <w:sz w:val="32"/>
          <w:szCs w:val="32"/>
          <w:highlight w:val="none"/>
        </w:rPr>
      </w:pPr>
    </w:p>
    <w:p w14:paraId="20C89145">
      <w:pPr>
        <w:jc w:val="center"/>
        <w:rPr>
          <w:rFonts w:hint="default" w:ascii="Times New Roman" w:hAnsi="Times New Roman" w:eastAsia="黑体" w:cs="Times New Roman"/>
          <w:sz w:val="32"/>
          <w:szCs w:val="32"/>
          <w:highlight w:val="none"/>
        </w:rPr>
      </w:pPr>
    </w:p>
    <w:p w14:paraId="760B56AB">
      <w:pPr>
        <w:jc w:val="center"/>
        <w:rPr>
          <w:rFonts w:hint="default" w:ascii="Times New Roman" w:hAnsi="Times New Roman" w:eastAsia="黑体" w:cs="Times New Roman"/>
          <w:sz w:val="32"/>
          <w:szCs w:val="32"/>
          <w:highlight w:val="none"/>
        </w:rPr>
      </w:pPr>
    </w:p>
    <w:p w14:paraId="7364D970">
      <w:pPr>
        <w:jc w:val="both"/>
        <w:rPr>
          <w:rFonts w:hint="default" w:ascii="Times New Roman" w:hAnsi="Times New Roman" w:eastAsia="黑体" w:cs="Times New Roman"/>
          <w:sz w:val="32"/>
          <w:szCs w:val="32"/>
          <w:highlight w:val="none"/>
        </w:rPr>
      </w:pPr>
    </w:p>
    <w:p w14:paraId="1ED086B1">
      <w:pPr>
        <w:jc w:val="center"/>
        <w:rPr>
          <w:rFonts w:hint="default" w:ascii="Times New Roman" w:hAnsi="Times New Roman" w:eastAsia="黑体" w:cs="Times New Roman"/>
          <w:sz w:val="32"/>
          <w:szCs w:val="32"/>
          <w:highlight w:val="none"/>
        </w:rPr>
      </w:pPr>
    </w:p>
    <w:p w14:paraId="46DC5378">
      <w:pPr>
        <w:jc w:val="center"/>
        <w:rPr>
          <w:rFonts w:hint="default" w:ascii="Times New Roman" w:hAnsi="Times New Roman" w:eastAsia="黑体" w:cs="Times New Roman"/>
          <w:sz w:val="32"/>
          <w:szCs w:val="32"/>
          <w:highlight w:val="none"/>
        </w:rPr>
      </w:pPr>
    </w:p>
    <w:p w14:paraId="5E3D37D2">
      <w:pPr>
        <w:jc w:val="center"/>
        <w:rPr>
          <w:rFonts w:hint="default" w:ascii="Times New Roman" w:hAnsi="Times New Roman" w:eastAsia="黑体" w:cs="Times New Roman"/>
          <w:sz w:val="32"/>
          <w:szCs w:val="32"/>
          <w:highlight w:val="none"/>
        </w:rPr>
      </w:pPr>
    </w:p>
    <w:p w14:paraId="2DB022F9">
      <w:pPr>
        <w:spacing w:line="600" w:lineRule="exact"/>
        <w:jc w:val="center"/>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部门（单位）名称：</w:t>
      </w:r>
      <w:r>
        <w:rPr>
          <w:rFonts w:hint="default" w:ascii="Times New Roman" w:hAnsi="Times New Roman" w:eastAsia="仿宋_GB2312" w:cs="Times New Roman"/>
          <w:sz w:val="32"/>
          <w:szCs w:val="32"/>
          <w:highlight w:val="none"/>
          <w:u w:val="single"/>
        </w:rPr>
        <w:t>（盖章）</w:t>
      </w:r>
    </w:p>
    <w:p w14:paraId="5DAE5F6E">
      <w:pPr>
        <w:spacing w:line="600" w:lineRule="exact"/>
        <w:jc w:val="center"/>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年  月  日</w:t>
      </w:r>
    </w:p>
    <w:p w14:paraId="31BB49F2">
      <w:pPr>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（此页为封面）</w:t>
      </w:r>
    </w:p>
    <w:p w14:paraId="5727C23C">
      <w:pPr>
        <w:jc w:val="center"/>
        <w:rPr>
          <w:rFonts w:hint="default" w:ascii="方正小标宋简体" w:hAnsi="方正小标宋简体" w:eastAsia="方正小标宋简体" w:cs="方正小标宋简体"/>
          <w:sz w:val="44"/>
          <w:szCs w:val="44"/>
          <w:highlight w:val="none"/>
        </w:rPr>
      </w:pPr>
      <w:r>
        <w:rPr>
          <w:rFonts w:hint="default" w:ascii="Times New Roman" w:hAnsi="Times New Roman" w:eastAsia="仿宋_GB2312" w:cs="Times New Roman"/>
          <w:sz w:val="32"/>
          <w:szCs w:val="32"/>
          <w:highlight w:val="none"/>
        </w:rPr>
        <w:br w:type="page"/>
      </w: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年度</w:t>
      </w:r>
      <w:r>
        <w:rPr>
          <w:rFonts w:hint="default" w:ascii="方正小标宋简体" w:hAnsi="方正小标宋简体" w:eastAsia="方正小标宋简体" w:cs="方正小标宋简体"/>
          <w:sz w:val="44"/>
          <w:szCs w:val="44"/>
          <w:highlight w:val="none"/>
        </w:rPr>
        <w:t>岳阳市生态环境局屈原分局</w:t>
      </w:r>
    </w:p>
    <w:p w14:paraId="04E3C37A">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整体支出绩效自评报告</w:t>
      </w:r>
    </w:p>
    <w:p w14:paraId="0946260D">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14:paraId="059B8365">
      <w:pPr>
        <w:keepNext w:val="0"/>
        <w:keepLines w:val="0"/>
        <w:pageBreakBefore w:val="0"/>
        <w:numPr>
          <w:ilvl w:val="0"/>
          <w:numId w:val="2"/>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部门（单位）基本情况</w:t>
      </w:r>
    </w:p>
    <w:p w14:paraId="05E13624">
      <w:pPr>
        <w:pStyle w:val="4"/>
        <w:keepNext w:val="0"/>
        <w:keepLines w:val="0"/>
        <w:pageBreakBefore w:val="0"/>
        <w:widowControl w:val="0"/>
        <w:numPr>
          <w:ilvl w:val="0"/>
          <w:numId w:val="0"/>
        </w:numPr>
        <w:kinsoku/>
        <w:wordWrap/>
        <w:overflowPunct/>
        <w:topLinePunct w:val="0"/>
        <w:autoSpaceDE/>
        <w:autoSpaceDN/>
        <w:bidi w:val="0"/>
        <w:adjustRightInd/>
        <w:snapToGrid/>
        <w:ind w:firstLine="620" w:firstLineChars="200"/>
        <w:textAlignment w:val="auto"/>
        <w:rPr>
          <w:rFonts w:hint="default"/>
        </w:rPr>
      </w:pPr>
      <w:r>
        <w:rPr>
          <w:rFonts w:hint="default"/>
        </w:rPr>
        <w:t>（一）职能职责</w:t>
      </w:r>
    </w:p>
    <w:p w14:paraId="7048A8BD">
      <w:pPr>
        <w:pStyle w:val="4"/>
        <w:keepNext w:val="0"/>
        <w:keepLines w:val="0"/>
        <w:pageBreakBefore w:val="0"/>
        <w:widowControl w:val="0"/>
        <w:numPr>
          <w:ilvl w:val="0"/>
          <w:numId w:val="0"/>
        </w:numPr>
        <w:kinsoku/>
        <w:wordWrap/>
        <w:overflowPunct/>
        <w:topLinePunct w:val="0"/>
        <w:autoSpaceDE/>
        <w:autoSpaceDN/>
        <w:bidi w:val="0"/>
        <w:adjustRightInd/>
        <w:snapToGrid/>
        <w:ind w:firstLine="620" w:firstLineChars="200"/>
        <w:textAlignment w:val="auto"/>
        <w:rPr>
          <w:rFonts w:hint="default"/>
        </w:rPr>
      </w:pPr>
      <w:r>
        <w:rPr>
          <w:rFonts w:hint="default"/>
        </w:rPr>
        <w:t>1、受市生态环境局委托，承担辖区内的生态环境相关工作；承担市生态环境局和区管委会交办的其他任务。</w:t>
      </w:r>
    </w:p>
    <w:p w14:paraId="224B6C49">
      <w:pPr>
        <w:pStyle w:val="4"/>
        <w:keepNext w:val="0"/>
        <w:keepLines w:val="0"/>
        <w:pageBreakBefore w:val="0"/>
        <w:widowControl w:val="0"/>
        <w:numPr>
          <w:ilvl w:val="0"/>
          <w:numId w:val="0"/>
        </w:numPr>
        <w:kinsoku/>
        <w:wordWrap/>
        <w:overflowPunct/>
        <w:topLinePunct w:val="0"/>
        <w:autoSpaceDE/>
        <w:autoSpaceDN/>
        <w:bidi w:val="0"/>
        <w:adjustRightInd/>
        <w:snapToGrid/>
        <w:ind w:firstLine="620" w:firstLineChars="200"/>
        <w:textAlignment w:val="auto"/>
        <w:rPr>
          <w:rFonts w:hint="default"/>
        </w:rPr>
      </w:pPr>
      <w:r>
        <w:rPr>
          <w:rFonts w:hint="default"/>
        </w:rPr>
        <w:t>2、负责本辖区内重点污染源在线监控系统现场监督管理；负责受理和办理生态环境保护举报（信访），负责生态环境信访维稳事件的现场调查处置工作，负责本辖区生态环境质量监测、执法监测、污染源监测和应急监测；负责辖区内生态文明示范区创建。</w:t>
      </w:r>
    </w:p>
    <w:p w14:paraId="7FD823F5">
      <w:pPr>
        <w:pStyle w:val="4"/>
        <w:keepNext w:val="0"/>
        <w:keepLines w:val="0"/>
        <w:pageBreakBefore w:val="0"/>
        <w:widowControl w:val="0"/>
        <w:numPr>
          <w:ilvl w:val="0"/>
          <w:numId w:val="0"/>
        </w:numPr>
        <w:kinsoku/>
        <w:wordWrap/>
        <w:overflowPunct/>
        <w:topLinePunct w:val="0"/>
        <w:autoSpaceDE/>
        <w:autoSpaceDN/>
        <w:bidi w:val="0"/>
        <w:adjustRightInd/>
        <w:snapToGrid/>
        <w:ind w:firstLine="620" w:firstLineChars="200"/>
        <w:textAlignment w:val="auto"/>
        <w:rPr>
          <w:rFonts w:hint="default"/>
        </w:rPr>
      </w:pPr>
      <w:r>
        <w:rPr>
          <w:rFonts w:hint="default"/>
        </w:rPr>
        <w:t>（二）机构设置</w:t>
      </w:r>
    </w:p>
    <w:p w14:paraId="52702F54">
      <w:pPr>
        <w:pStyle w:val="4"/>
        <w:keepNext w:val="0"/>
        <w:keepLines w:val="0"/>
        <w:pageBreakBefore w:val="0"/>
        <w:widowControl w:val="0"/>
        <w:numPr>
          <w:ilvl w:val="0"/>
          <w:numId w:val="0"/>
        </w:numPr>
        <w:kinsoku/>
        <w:wordWrap/>
        <w:overflowPunct/>
        <w:topLinePunct w:val="0"/>
        <w:autoSpaceDE/>
        <w:autoSpaceDN/>
        <w:bidi w:val="0"/>
        <w:adjustRightInd/>
        <w:snapToGrid/>
        <w:ind w:firstLine="620" w:firstLineChars="200"/>
        <w:textAlignment w:val="auto"/>
        <w:rPr>
          <w:rFonts w:hint="default"/>
        </w:rPr>
      </w:pPr>
      <w:r>
        <w:rPr>
          <w:rFonts w:hint="default"/>
        </w:rPr>
        <w:t>屈原生态环境分局属岳阳市生态环境局二级机构。根据分局的整体情况，分局下设四个股室（办公室、监察大队、管理股、法制股）。分局目前</w:t>
      </w:r>
      <w:r>
        <w:rPr>
          <w:rFonts w:hint="eastAsia"/>
          <w:lang w:eastAsia="zh-CN"/>
        </w:rPr>
        <w:t>在职</w:t>
      </w:r>
      <w:r>
        <w:rPr>
          <w:rFonts w:hint="default"/>
        </w:rPr>
        <w:t>在编人员</w:t>
      </w:r>
      <w:r>
        <w:rPr>
          <w:rFonts w:hint="eastAsia"/>
          <w:lang w:val="en-US" w:eastAsia="zh-CN"/>
        </w:rPr>
        <w:t>7</w:t>
      </w:r>
      <w:r>
        <w:rPr>
          <w:rFonts w:hint="default"/>
        </w:rPr>
        <w:t>人。</w:t>
      </w:r>
    </w:p>
    <w:p w14:paraId="5E023B72">
      <w:pPr>
        <w:pStyle w:val="12"/>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二、一般公共预算支出情况</w:t>
      </w:r>
    </w:p>
    <w:p w14:paraId="19D3320F">
      <w:pPr>
        <w:pStyle w:val="12"/>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（一）基本支出情况</w:t>
      </w:r>
    </w:p>
    <w:p w14:paraId="41D5075A">
      <w:pPr>
        <w:pStyle w:val="12"/>
        <w:keepNext w:val="0"/>
        <w:keepLines w:val="0"/>
        <w:pageBreakBefore w:val="0"/>
        <w:widowControl/>
        <w:kinsoku/>
        <w:wordWrap/>
        <w:overflowPunct/>
        <w:topLinePunct w:val="0"/>
        <w:autoSpaceDE/>
        <w:autoSpaceDN/>
        <w:bidi w:val="0"/>
        <w:adjustRightInd/>
        <w:snapToGrid/>
        <w:spacing w:line="640" w:lineRule="exact"/>
        <w:ind w:firstLine="620" w:firstLineChars="200"/>
        <w:jc w:val="both"/>
        <w:textAlignment w:val="auto"/>
        <w:rPr>
          <w:rFonts w:hint="default" w:ascii="仿宋" w:hAnsi="仿宋" w:eastAsia="仿宋" w:cs="仿宋"/>
          <w:kern w:val="0"/>
          <w:sz w:val="31"/>
          <w:szCs w:val="31"/>
          <w:lang w:val="en-US" w:eastAsia="en-US" w:bidi="ar-SA"/>
        </w:rPr>
      </w:pPr>
      <w:r>
        <w:rPr>
          <w:rFonts w:hint="default" w:ascii="仿宋" w:hAnsi="仿宋" w:eastAsia="仿宋" w:cs="仿宋"/>
          <w:kern w:val="0"/>
          <w:sz w:val="31"/>
          <w:szCs w:val="31"/>
          <w:lang w:val="en-US" w:eastAsia="en-US" w:bidi="ar-SA"/>
        </w:rPr>
        <w:t>我分局202</w:t>
      </w:r>
      <w:r>
        <w:rPr>
          <w:rFonts w:hint="eastAsia" w:ascii="仿宋" w:hAnsi="仿宋" w:eastAsia="仿宋" w:cs="仿宋"/>
          <w:kern w:val="0"/>
          <w:sz w:val="31"/>
          <w:szCs w:val="31"/>
          <w:lang w:val="en-US" w:eastAsia="zh-CN" w:bidi="ar-SA"/>
        </w:rPr>
        <w:t>4</w:t>
      </w:r>
      <w:r>
        <w:rPr>
          <w:rFonts w:hint="default" w:ascii="仿宋" w:hAnsi="仿宋" w:eastAsia="仿宋" w:cs="仿宋"/>
          <w:kern w:val="0"/>
          <w:sz w:val="31"/>
          <w:szCs w:val="31"/>
          <w:lang w:val="en-US" w:eastAsia="en-US" w:bidi="ar-SA"/>
        </w:rPr>
        <w:t>年度</w:t>
      </w:r>
      <w:r>
        <w:rPr>
          <w:rFonts w:hint="eastAsia" w:ascii="仿宋" w:hAnsi="仿宋" w:eastAsia="仿宋" w:cs="仿宋"/>
          <w:kern w:val="0"/>
          <w:sz w:val="31"/>
          <w:szCs w:val="31"/>
          <w:lang w:val="en-US" w:eastAsia="zh-CN" w:bidi="ar-SA"/>
        </w:rPr>
        <w:t>基本</w:t>
      </w:r>
      <w:r>
        <w:rPr>
          <w:rFonts w:hint="default" w:ascii="仿宋" w:hAnsi="仿宋" w:eastAsia="仿宋" w:cs="仿宋"/>
          <w:kern w:val="0"/>
          <w:sz w:val="31"/>
          <w:szCs w:val="31"/>
          <w:lang w:val="en-US" w:eastAsia="en-US" w:bidi="ar-SA"/>
        </w:rPr>
        <w:t>支出</w:t>
      </w:r>
      <w:r>
        <w:rPr>
          <w:rFonts w:hint="eastAsia" w:ascii="仿宋" w:hAnsi="仿宋" w:eastAsia="仿宋" w:cs="仿宋"/>
          <w:kern w:val="0"/>
          <w:sz w:val="31"/>
          <w:szCs w:val="31"/>
          <w:lang w:val="en-US" w:eastAsia="zh-CN" w:bidi="ar-SA"/>
        </w:rPr>
        <w:t>180.94</w:t>
      </w:r>
      <w:r>
        <w:rPr>
          <w:rFonts w:hint="default" w:ascii="仿宋" w:hAnsi="仿宋" w:eastAsia="仿宋" w:cs="仿宋"/>
          <w:kern w:val="0"/>
          <w:sz w:val="31"/>
          <w:szCs w:val="31"/>
          <w:lang w:val="en-US" w:eastAsia="en-US" w:bidi="ar-SA"/>
        </w:rPr>
        <w:t>万元，其中工资福利性支出</w:t>
      </w:r>
      <w:r>
        <w:rPr>
          <w:rFonts w:hint="eastAsia" w:ascii="仿宋" w:hAnsi="仿宋" w:eastAsia="仿宋" w:cs="仿宋"/>
          <w:kern w:val="0"/>
          <w:sz w:val="31"/>
          <w:szCs w:val="31"/>
          <w:lang w:val="en-US" w:eastAsia="zh-CN" w:bidi="ar-SA"/>
        </w:rPr>
        <w:t xml:space="preserve">96.62 </w:t>
      </w:r>
      <w:r>
        <w:rPr>
          <w:rFonts w:hint="default" w:ascii="仿宋" w:hAnsi="仿宋" w:eastAsia="仿宋" w:cs="仿宋"/>
          <w:kern w:val="0"/>
          <w:sz w:val="31"/>
          <w:szCs w:val="31"/>
          <w:lang w:val="en-US" w:eastAsia="en-US" w:bidi="ar-SA"/>
        </w:rPr>
        <w:t>万元，商品和服务性支出</w:t>
      </w:r>
      <w:r>
        <w:rPr>
          <w:rFonts w:hint="eastAsia" w:ascii="仿宋" w:hAnsi="仿宋" w:eastAsia="仿宋" w:cs="仿宋"/>
          <w:kern w:val="0"/>
          <w:sz w:val="31"/>
          <w:szCs w:val="31"/>
          <w:lang w:val="en-US" w:eastAsia="zh-CN" w:bidi="ar-SA"/>
        </w:rPr>
        <w:t>76.64</w:t>
      </w:r>
      <w:r>
        <w:rPr>
          <w:rFonts w:hint="default" w:ascii="仿宋" w:hAnsi="仿宋" w:eastAsia="仿宋" w:cs="仿宋"/>
          <w:kern w:val="0"/>
          <w:sz w:val="31"/>
          <w:szCs w:val="31"/>
          <w:lang w:val="en-US" w:eastAsia="en-US" w:bidi="ar-SA"/>
        </w:rPr>
        <w:t>万元，其他对个人及家庭的补助7.68万元</w:t>
      </w:r>
      <w:r>
        <w:rPr>
          <w:rFonts w:hint="eastAsia" w:ascii="仿宋" w:hAnsi="仿宋" w:eastAsia="仿宋" w:cs="仿宋"/>
          <w:kern w:val="0"/>
          <w:sz w:val="31"/>
          <w:szCs w:val="31"/>
          <w:lang w:val="en-US" w:eastAsia="zh-CN" w:bidi="ar-SA"/>
        </w:rPr>
        <w:t>。</w:t>
      </w:r>
      <w:r>
        <w:rPr>
          <w:rFonts w:hint="default" w:ascii="仿宋" w:hAnsi="仿宋" w:eastAsia="仿宋" w:cs="仿宋"/>
          <w:kern w:val="0"/>
          <w:sz w:val="31"/>
          <w:szCs w:val="31"/>
          <w:lang w:val="en-US" w:eastAsia="en-US" w:bidi="ar-SA"/>
        </w:rPr>
        <w:t>主要用于人员经费和环境宣传、资产采购、“三公”经费等公用支出。</w:t>
      </w:r>
    </w:p>
    <w:p w14:paraId="711E904B">
      <w:pPr>
        <w:pStyle w:val="12"/>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eastAsia" w:ascii="Times New Roman" w:hAnsi="Times New Roman" w:eastAsia="楷体_GB2312" w:cs="Times New Roman"/>
          <w:b/>
          <w:kern w:val="0"/>
          <w:sz w:val="32"/>
          <w:szCs w:val="32"/>
          <w:lang w:val="en-US" w:eastAsia="zh-CN" w:bidi="ar-SA"/>
        </w:rPr>
        <w:t>（二）</w:t>
      </w:r>
      <w:r>
        <w:rPr>
          <w:rFonts w:hint="default" w:ascii="Times New Roman" w:hAnsi="Times New Roman" w:eastAsia="楷体_GB2312" w:cs="Times New Roman"/>
          <w:b/>
          <w:sz w:val="32"/>
          <w:szCs w:val="32"/>
          <w:highlight w:val="none"/>
        </w:rPr>
        <w:t>项目支出情况</w:t>
      </w:r>
    </w:p>
    <w:p w14:paraId="3FCCC83E">
      <w:pPr>
        <w:pStyle w:val="12"/>
        <w:keepNext w:val="0"/>
        <w:keepLines w:val="0"/>
        <w:pageBreakBefore w:val="0"/>
        <w:widowControl/>
        <w:kinsoku/>
        <w:wordWrap/>
        <w:overflowPunct/>
        <w:topLinePunct w:val="0"/>
        <w:autoSpaceDE/>
        <w:autoSpaceDN/>
        <w:bidi w:val="0"/>
        <w:adjustRightInd/>
        <w:snapToGrid/>
        <w:spacing w:line="640" w:lineRule="exact"/>
        <w:ind w:firstLine="620" w:firstLineChars="200"/>
        <w:jc w:val="both"/>
        <w:textAlignment w:val="auto"/>
        <w:rPr>
          <w:rFonts w:hint="eastAsia" w:ascii="仿宋" w:hAnsi="仿宋" w:eastAsia="仿宋" w:cs="仿宋"/>
          <w:kern w:val="0"/>
          <w:sz w:val="31"/>
          <w:szCs w:val="31"/>
          <w:lang w:val="en-US" w:eastAsia="zh-CN" w:bidi="ar-SA"/>
        </w:rPr>
      </w:pPr>
      <w:r>
        <w:rPr>
          <w:rFonts w:hint="eastAsia" w:ascii="仿宋" w:hAnsi="仿宋" w:eastAsia="仿宋" w:cs="仿宋"/>
          <w:kern w:val="0"/>
          <w:sz w:val="31"/>
          <w:szCs w:val="31"/>
          <w:lang w:val="en-US" w:eastAsia="zh-CN" w:bidi="ar-SA"/>
        </w:rPr>
        <w:t>项目</w:t>
      </w:r>
      <w:r>
        <w:rPr>
          <w:rFonts w:hint="default" w:ascii="仿宋" w:hAnsi="仿宋" w:eastAsia="仿宋" w:cs="仿宋"/>
          <w:kern w:val="0"/>
          <w:sz w:val="31"/>
          <w:szCs w:val="31"/>
          <w:lang w:val="en-US" w:eastAsia="en-US" w:bidi="ar-SA"/>
        </w:rPr>
        <w:t>支出</w:t>
      </w:r>
      <w:r>
        <w:rPr>
          <w:rFonts w:hint="eastAsia" w:ascii="仿宋" w:hAnsi="仿宋" w:eastAsia="仿宋" w:cs="仿宋"/>
          <w:kern w:val="0"/>
          <w:sz w:val="31"/>
          <w:szCs w:val="31"/>
          <w:lang w:val="en-US" w:eastAsia="zh-CN" w:bidi="ar-SA"/>
        </w:rPr>
        <w:t>76.82</w:t>
      </w:r>
      <w:r>
        <w:rPr>
          <w:rFonts w:hint="default" w:ascii="仿宋" w:hAnsi="仿宋" w:eastAsia="仿宋" w:cs="仿宋"/>
          <w:kern w:val="0"/>
          <w:sz w:val="31"/>
          <w:szCs w:val="31"/>
          <w:lang w:val="en-US" w:eastAsia="en-US" w:bidi="ar-SA"/>
        </w:rPr>
        <w:t>万元，其中环境监察、监测等运行经费</w:t>
      </w:r>
      <w:r>
        <w:rPr>
          <w:rFonts w:hint="eastAsia" w:ascii="仿宋" w:hAnsi="仿宋" w:eastAsia="仿宋" w:cs="仿宋"/>
          <w:kern w:val="0"/>
          <w:sz w:val="31"/>
          <w:szCs w:val="31"/>
          <w:lang w:val="en-US" w:eastAsia="zh-CN" w:bidi="ar-SA"/>
        </w:rPr>
        <w:t>25.83</w:t>
      </w:r>
      <w:r>
        <w:rPr>
          <w:rFonts w:hint="default" w:ascii="仿宋" w:hAnsi="仿宋" w:eastAsia="仿宋" w:cs="仿宋"/>
          <w:kern w:val="0"/>
          <w:sz w:val="31"/>
          <w:szCs w:val="31"/>
          <w:lang w:val="en-US" w:eastAsia="en-US" w:bidi="ar-SA"/>
        </w:rPr>
        <w:t>万元</w:t>
      </w:r>
      <w:r>
        <w:rPr>
          <w:rFonts w:hint="eastAsia" w:ascii="仿宋" w:hAnsi="仿宋" w:eastAsia="仿宋" w:cs="仿宋"/>
          <w:kern w:val="0"/>
          <w:sz w:val="31"/>
          <w:szCs w:val="31"/>
          <w:lang w:val="en-US" w:eastAsia="zh-CN" w:bidi="ar-SA"/>
        </w:rPr>
        <w:t>，业务工作</w:t>
      </w:r>
      <w:r>
        <w:rPr>
          <w:rFonts w:hint="eastAsia" w:ascii="仿宋" w:hAnsi="仿宋" w:eastAsia="仿宋" w:cs="仿宋"/>
          <w:kern w:val="0"/>
          <w:sz w:val="31"/>
          <w:szCs w:val="31"/>
          <w:lang w:val="en-US" w:eastAsia="en-US" w:bidi="ar-SA"/>
        </w:rPr>
        <w:t>专项</w:t>
      </w:r>
      <w:r>
        <w:rPr>
          <w:rFonts w:hint="eastAsia" w:ascii="仿宋" w:hAnsi="仿宋" w:eastAsia="仿宋" w:cs="仿宋"/>
          <w:kern w:val="0"/>
          <w:sz w:val="31"/>
          <w:szCs w:val="31"/>
          <w:lang w:val="en-US" w:eastAsia="zh-CN" w:bidi="ar-SA"/>
        </w:rPr>
        <w:t>资金50.99万元。</w:t>
      </w:r>
    </w:p>
    <w:p w14:paraId="1EE4AA39">
      <w:pPr>
        <w:pStyle w:val="12"/>
        <w:keepNext w:val="0"/>
        <w:keepLines w:val="0"/>
        <w:pageBreakBefore w:val="0"/>
        <w:widowControl/>
        <w:numPr>
          <w:ilvl w:val="0"/>
          <w:numId w:val="0"/>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kern w:val="0"/>
          <w:sz w:val="32"/>
          <w:szCs w:val="32"/>
          <w:lang w:val="en-US" w:eastAsia="zh-CN" w:bidi="ar-SA"/>
        </w:rPr>
        <w:t>三、</w:t>
      </w:r>
      <w:r>
        <w:rPr>
          <w:rFonts w:hint="default" w:ascii="Times New Roman" w:hAnsi="Times New Roman" w:eastAsia="黑体" w:cs="Times New Roman"/>
          <w:sz w:val="32"/>
          <w:szCs w:val="32"/>
          <w:highlight w:val="none"/>
        </w:rPr>
        <w:t>政府性基金预算支出情况</w:t>
      </w:r>
    </w:p>
    <w:p w14:paraId="0F0E73F0">
      <w:pPr>
        <w:pStyle w:val="12"/>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rPr>
      </w:pPr>
      <w:bookmarkStart w:id="11" w:name="OLE_LINK8"/>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bookmarkEnd w:id="11"/>
      <w:r>
        <w:rPr>
          <w:rFonts w:hint="eastAsia" w:ascii="仿宋_GB2312" w:hAnsi="仿宋_GB2312" w:eastAsia="仿宋_GB2312" w:cs="仿宋_GB2312"/>
          <w:sz w:val="32"/>
          <w:szCs w:val="32"/>
        </w:rPr>
        <w:t>本单位没有使用政府性基金预算安排的</w:t>
      </w:r>
      <w:r>
        <w:rPr>
          <w:rFonts w:hint="eastAsia" w:ascii="仿宋_GB2312" w:hAnsi="仿宋_GB2312" w:eastAsia="仿宋_GB2312" w:cs="仿宋_GB2312"/>
          <w:sz w:val="32"/>
          <w:szCs w:val="32"/>
          <w:lang w:val="en-US" w:eastAsia="zh-CN"/>
        </w:rPr>
        <w:t>支出</w:t>
      </w:r>
      <w:r>
        <w:rPr>
          <w:rFonts w:hint="eastAsia" w:ascii="仿宋_GB2312" w:hAnsi="仿宋_GB2312" w:eastAsia="仿宋_GB2312" w:cs="仿宋_GB2312"/>
          <w:sz w:val="32"/>
          <w:szCs w:val="32"/>
        </w:rPr>
        <w:t>。</w:t>
      </w:r>
    </w:p>
    <w:p w14:paraId="72A92BD3">
      <w:pPr>
        <w:pStyle w:val="12"/>
        <w:keepNext w:val="0"/>
        <w:keepLines w:val="0"/>
        <w:pageBreakBefore w:val="0"/>
        <w:widowControl/>
        <w:numPr>
          <w:ilvl w:val="0"/>
          <w:numId w:val="0"/>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kern w:val="0"/>
          <w:sz w:val="32"/>
          <w:szCs w:val="32"/>
          <w:lang w:val="en-US" w:eastAsia="zh-CN" w:bidi="ar-SA"/>
        </w:rPr>
        <w:t>四、</w:t>
      </w:r>
      <w:r>
        <w:rPr>
          <w:rFonts w:hint="default" w:ascii="Times New Roman" w:hAnsi="Times New Roman" w:eastAsia="黑体" w:cs="Times New Roman"/>
          <w:sz w:val="32"/>
          <w:szCs w:val="32"/>
          <w:highlight w:val="none"/>
        </w:rPr>
        <w:t>国有资本经营预算支出情况</w:t>
      </w:r>
    </w:p>
    <w:p w14:paraId="2D52FB07">
      <w:pPr>
        <w:pStyle w:val="12"/>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年本单位没有使用</w:t>
      </w:r>
      <w:r>
        <w:rPr>
          <w:rFonts w:hint="eastAsia" w:ascii="仿宋_GB2312" w:hAnsi="仿宋_GB2312" w:eastAsia="仿宋_GB2312" w:cs="仿宋_GB2312"/>
          <w:sz w:val="32"/>
          <w:szCs w:val="32"/>
          <w:lang w:val="en-US" w:eastAsia="zh-CN"/>
        </w:rPr>
        <w:t>国有资本经营预算</w:t>
      </w:r>
      <w:r>
        <w:rPr>
          <w:rFonts w:hint="eastAsia" w:ascii="仿宋_GB2312" w:hAnsi="仿宋_GB2312" w:eastAsia="仿宋_GB2312" w:cs="仿宋_GB2312"/>
          <w:sz w:val="32"/>
          <w:szCs w:val="32"/>
        </w:rPr>
        <w:t>安排的</w:t>
      </w:r>
      <w:r>
        <w:rPr>
          <w:rFonts w:hint="eastAsia" w:ascii="仿宋_GB2312" w:hAnsi="仿宋_GB2312" w:eastAsia="仿宋_GB2312" w:cs="仿宋_GB2312"/>
          <w:sz w:val="32"/>
          <w:szCs w:val="32"/>
          <w:lang w:val="en-US" w:eastAsia="zh-CN"/>
        </w:rPr>
        <w:t>支出</w:t>
      </w:r>
      <w:r>
        <w:rPr>
          <w:rFonts w:hint="eastAsia" w:ascii="仿宋_GB2312" w:hAnsi="仿宋_GB2312" w:eastAsia="仿宋_GB2312" w:cs="仿宋_GB2312"/>
          <w:sz w:val="32"/>
          <w:szCs w:val="32"/>
        </w:rPr>
        <w:t>。</w:t>
      </w:r>
    </w:p>
    <w:p w14:paraId="32770A0B">
      <w:pPr>
        <w:pStyle w:val="12"/>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kern w:val="0"/>
          <w:sz w:val="32"/>
          <w:szCs w:val="32"/>
          <w:lang w:val="en-US" w:eastAsia="zh-CN" w:bidi="ar-SA"/>
        </w:rPr>
        <w:t>五、</w:t>
      </w:r>
      <w:r>
        <w:rPr>
          <w:rFonts w:hint="default" w:ascii="Times New Roman" w:hAnsi="Times New Roman" w:eastAsia="黑体" w:cs="Times New Roman"/>
          <w:sz w:val="32"/>
          <w:szCs w:val="32"/>
          <w:highlight w:val="none"/>
        </w:rPr>
        <w:t>社会保险基金预算支出情况</w:t>
      </w:r>
    </w:p>
    <w:p w14:paraId="7D9500E4">
      <w:pPr>
        <w:pStyle w:val="12"/>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年本单位没有使用</w:t>
      </w:r>
      <w:r>
        <w:rPr>
          <w:rFonts w:hint="eastAsia" w:ascii="仿宋_GB2312" w:hAnsi="仿宋_GB2312" w:eastAsia="仿宋_GB2312" w:cs="仿宋_GB2312"/>
          <w:sz w:val="32"/>
          <w:szCs w:val="32"/>
          <w:lang w:val="en-US" w:eastAsia="zh-CN"/>
        </w:rPr>
        <w:t>社会保险基金预算</w:t>
      </w:r>
      <w:r>
        <w:rPr>
          <w:rFonts w:hint="eastAsia" w:ascii="仿宋_GB2312" w:hAnsi="仿宋_GB2312" w:eastAsia="仿宋_GB2312" w:cs="仿宋_GB2312"/>
          <w:sz w:val="32"/>
          <w:szCs w:val="32"/>
        </w:rPr>
        <w:t>安排的</w:t>
      </w:r>
      <w:r>
        <w:rPr>
          <w:rFonts w:hint="eastAsia" w:ascii="仿宋_GB2312" w:hAnsi="仿宋_GB2312" w:eastAsia="仿宋_GB2312" w:cs="仿宋_GB2312"/>
          <w:sz w:val="32"/>
          <w:szCs w:val="32"/>
          <w:lang w:val="en-US" w:eastAsia="zh-CN"/>
        </w:rPr>
        <w:t>支出</w:t>
      </w:r>
      <w:r>
        <w:rPr>
          <w:rFonts w:hint="eastAsia" w:ascii="仿宋_GB2312" w:hAnsi="仿宋_GB2312" w:eastAsia="仿宋_GB2312" w:cs="仿宋_GB2312"/>
          <w:sz w:val="32"/>
          <w:szCs w:val="32"/>
        </w:rPr>
        <w:t>。</w:t>
      </w:r>
    </w:p>
    <w:p w14:paraId="68940D1A">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六、部门整体支出绩效情况</w:t>
      </w:r>
    </w:p>
    <w:p w14:paraId="5106A19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bCs/>
          <w:color w:val="000000"/>
          <w:kern w:val="0"/>
          <w:sz w:val="32"/>
          <w:szCs w:val="32"/>
          <w:lang w:val="en-US" w:eastAsia="zh-CN"/>
        </w:rPr>
      </w:pPr>
      <w:r>
        <w:rPr>
          <w:rFonts w:hint="eastAsia" w:ascii="仿宋_GB2312" w:hAnsi="仿宋_GB2312" w:eastAsia="仿宋_GB2312" w:cs="仿宋_GB2312"/>
          <w:sz w:val="32"/>
          <w:szCs w:val="32"/>
          <w:lang w:val="en-US" w:eastAsia="zh-CN"/>
        </w:rPr>
        <w:t>今年，我区空气优良率为88%，其中，PM2.5平均浓度为34.4微克/立方米，PM10平均浓度为47微克/立方米，综合指数为3.2，同时我区两个断面均保持二类水质，总磷浓度稳中有降，集中式饮用水水源地水质达标率100%。</w:t>
      </w:r>
    </w:p>
    <w:p w14:paraId="0E0B9CB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（一）在治理上提标，全力打好“三大”攻坚战</w:t>
      </w:r>
    </w:p>
    <w:p w14:paraId="52196F5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1、全力打好蓝天保卫战</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持续开展挥发有机物（VOCs）综合治理。加强VOCs有组织废气收集管控，对全区含VOCs五类组织排放源的15家企业实施全过程管控及现场排查，共发现并指导完成整改问题5个，消减VOCs无组织排放；</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color w:val="000000"/>
          <w:kern w:val="2"/>
          <w:sz w:val="32"/>
          <w:szCs w:val="32"/>
          <w:lang w:val="en-US" w:eastAsia="zh-CN" w:bidi="ar-SA"/>
        </w:rPr>
        <w:t>深入开展氮氧化物、PM2.5协同管控。</w:t>
      </w:r>
      <w:r>
        <w:rPr>
          <w:rFonts w:hint="eastAsia" w:ascii="仿宋_GB2312" w:hAnsi="仿宋_GB2312" w:eastAsia="仿宋_GB2312" w:cs="仿宋_GB2312"/>
          <w:sz w:val="32"/>
          <w:szCs w:val="32"/>
          <w:lang w:val="en-US" w:eastAsia="zh-CN"/>
        </w:rPr>
        <w:t>分局按年度持续落实尾气监测与非道路移动机械上牌工作，截止目前已登记录入168台非道路移动机械，今年已完成30台非道路移动机械、13个入户调查、28个路检的尾气抽检任务，完成非道路移动机械、路检和入户检测的年度任务；</w:t>
      </w:r>
      <w:r>
        <w:rPr>
          <w:rFonts w:hint="eastAsia" w:ascii="仿宋_GB2312" w:hAnsi="仿宋_GB2312" w:eastAsia="仿宋_GB2312" w:cs="仿宋_GB2312"/>
          <w:b/>
          <w:bCs/>
          <w:sz w:val="32"/>
          <w:szCs w:val="32"/>
          <w:lang w:val="en-US" w:eastAsia="zh-CN"/>
        </w:rPr>
        <w:t>三是</w:t>
      </w:r>
      <w:bookmarkStart w:id="12" w:name="OLE_LINK10"/>
      <w:r>
        <w:rPr>
          <w:rFonts w:hint="eastAsia" w:ascii="仿宋_GB2312" w:hAnsi="仿宋_GB2312" w:eastAsia="仿宋_GB2312" w:cs="仿宋_GB2312"/>
          <w:b w:val="0"/>
          <w:bCs w:val="0"/>
          <w:color w:val="000000"/>
          <w:kern w:val="2"/>
          <w:sz w:val="32"/>
          <w:szCs w:val="32"/>
          <w:lang w:val="en-US" w:eastAsia="zh-CN" w:bidi="ar-SA"/>
        </w:rPr>
        <w:t>实施重污染天气重点行业绩效提级</w:t>
      </w:r>
      <w:bookmarkEnd w:id="12"/>
      <w:r>
        <w:rPr>
          <w:rFonts w:hint="eastAsia" w:ascii="仿宋_GB2312" w:hAnsi="仿宋_GB2312" w:eastAsia="仿宋_GB2312" w:cs="仿宋_GB2312"/>
          <w:b w:val="0"/>
          <w:bCs w:val="0"/>
          <w:color w:val="000000"/>
          <w:kern w:val="2"/>
          <w:sz w:val="32"/>
          <w:szCs w:val="32"/>
          <w:lang w:val="en-US" w:eastAsia="zh-CN" w:bidi="ar-SA"/>
        </w:rPr>
        <w:t>。</w:t>
      </w:r>
      <w:r>
        <w:rPr>
          <w:rFonts w:hint="eastAsia" w:ascii="仿宋_GB2312" w:hAnsi="仿宋_GB2312" w:eastAsia="仿宋_GB2312" w:cs="仿宋_GB2312"/>
          <w:sz w:val="32"/>
          <w:szCs w:val="32"/>
          <w:lang w:val="en-US" w:eastAsia="zh-CN"/>
        </w:rPr>
        <w:t>按照省、市要求实施重点行业绩效分级管控，修改《屈原管理区重污染天气应急预案》部分条款，深入推进环境污染治理，规范企业绩效分级管理流程，指导湖南博瑞重工科技有限责任公司在8个方面进行全面提升，由D至B申报绩效提级。此外，全面核定了全区工业污染源重污染天气应急减排清单企业，完善清单中60家企业的减排措施，督促企业落实重污染天气黄色预警预警响应，应急响应期间，派出执法人员62人次，认真督促企业应落实应急响应；</w:t>
      </w:r>
      <w:r>
        <w:rPr>
          <w:rFonts w:hint="eastAsia" w:ascii="仿宋_GB2312" w:hAnsi="仿宋_GB2312" w:eastAsia="仿宋_GB2312" w:cs="仿宋_GB2312"/>
          <w:b/>
          <w:bCs/>
          <w:sz w:val="32"/>
          <w:szCs w:val="32"/>
          <w:lang w:val="en-US" w:eastAsia="zh-CN"/>
        </w:rPr>
        <w:t>四是</w:t>
      </w:r>
      <w:bookmarkStart w:id="13" w:name="OLE_LINK11"/>
      <w:r>
        <w:rPr>
          <w:rFonts w:hint="eastAsia" w:ascii="仿宋_GB2312" w:hAnsi="仿宋_GB2312" w:eastAsia="仿宋_GB2312" w:cs="仿宋_GB2312"/>
          <w:b w:val="0"/>
          <w:bCs w:val="0"/>
          <w:sz w:val="32"/>
          <w:szCs w:val="32"/>
          <w:lang w:val="en-US" w:eastAsia="zh-CN"/>
        </w:rPr>
        <w:t>积极推进秸秆禁烧及禁炮工作</w:t>
      </w:r>
      <w:bookmarkEnd w:id="13"/>
      <w:r>
        <w:rPr>
          <w:rFonts w:hint="eastAsia" w:ascii="仿宋_GB2312" w:hAnsi="仿宋_GB2312" w:eastAsia="仿宋_GB2312" w:cs="仿宋_GB2312"/>
          <w:sz w:val="32"/>
          <w:szCs w:val="32"/>
          <w:lang w:val="en-US" w:eastAsia="zh-CN"/>
        </w:rPr>
        <w:t>。区领导多次召开全区相关工作会议，组建领导小组，发布辖区禁限烧、禁放范围，成立巡查组，对乡镇、街道开展不间断巡查，制作禁炮宣传小视频。很大程度上宣传了</w:t>
      </w:r>
      <w:r>
        <w:rPr>
          <w:rFonts w:hint="eastAsia" w:ascii="仿宋_GB2312" w:hAnsi="仿宋_GB2312" w:eastAsia="仿宋_GB2312" w:cs="仿宋_GB2312"/>
          <w:kern w:val="2"/>
          <w:sz w:val="32"/>
          <w:szCs w:val="32"/>
          <w:lang w:val="en-US" w:eastAsia="zh-CN" w:bidi="ar-SA"/>
        </w:rPr>
        <w:t>区内秸秆禁烧、禁炮政策，加强了巡查和管控，提高了秸秆综合利用率，切实做好了大气污染管控工作。</w:t>
      </w:r>
    </w:p>
    <w:p w14:paraId="62F2747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000000"/>
          <w:kern w:val="2"/>
          <w:sz w:val="32"/>
          <w:szCs w:val="32"/>
          <w:lang w:val="en-US" w:eastAsia="zh-CN" w:bidi="ar-SA"/>
        </w:rPr>
      </w:pPr>
      <w:r>
        <w:rPr>
          <w:rFonts w:hint="eastAsia" w:ascii="楷体_GB2312" w:hAnsi="楷体_GB2312" w:eastAsia="楷体_GB2312" w:cs="楷体_GB2312"/>
          <w:b/>
          <w:bCs/>
          <w:sz w:val="32"/>
          <w:szCs w:val="32"/>
          <w:lang w:val="en-US" w:eastAsia="zh-CN"/>
        </w:rPr>
        <w:t>2.</w:t>
      </w:r>
      <w:bookmarkStart w:id="14" w:name="OLE_LINK12"/>
      <w:r>
        <w:rPr>
          <w:rFonts w:hint="eastAsia" w:ascii="楷体_GB2312" w:hAnsi="楷体_GB2312" w:eastAsia="楷体_GB2312" w:cs="楷体_GB2312"/>
          <w:b/>
          <w:bCs/>
          <w:sz w:val="32"/>
          <w:szCs w:val="32"/>
          <w:lang w:val="en-US" w:eastAsia="zh-CN"/>
        </w:rPr>
        <w:t>全力开展碧水攻坚战</w:t>
      </w:r>
      <w:bookmarkEnd w:id="14"/>
      <w:r>
        <w:rPr>
          <w:rFonts w:hint="eastAsia" w:ascii="仿宋_GB2312" w:hAnsi="仿宋_GB2312" w:eastAsia="仿宋_GB2312" w:cs="仿宋_GB2312"/>
          <w:b/>
          <w:bCs/>
          <w:sz w:val="32"/>
          <w:szCs w:val="32"/>
          <w:lang w:val="en-US" w:eastAsia="zh-CN"/>
        </w:rPr>
        <w:t>。一是</w:t>
      </w:r>
      <w:bookmarkStart w:id="15" w:name="OLE_LINK14"/>
      <w:r>
        <w:rPr>
          <w:rFonts w:hint="eastAsia" w:ascii="仿宋_GB2312" w:hAnsi="仿宋_GB2312" w:eastAsia="仿宋_GB2312" w:cs="仿宋_GB2312"/>
          <w:b w:val="0"/>
          <w:bCs w:val="0"/>
          <w:color w:val="000000"/>
          <w:kern w:val="2"/>
          <w:sz w:val="32"/>
          <w:szCs w:val="32"/>
          <w:lang w:val="en-US" w:eastAsia="zh-CN" w:bidi="ar-SA"/>
        </w:rPr>
        <w:t>全面完成</w:t>
      </w:r>
      <w:r>
        <w:rPr>
          <w:rFonts w:hint="eastAsia" w:ascii="仿宋_GB2312" w:hAnsi="仿宋_GB2312" w:eastAsia="仿宋_GB2312" w:cs="仿宋_GB2312"/>
          <w:b w:val="0"/>
          <w:bCs w:val="0"/>
          <w:sz w:val="32"/>
          <w:szCs w:val="32"/>
          <w:lang w:val="en-US" w:eastAsia="zh-CN"/>
        </w:rPr>
        <w:t>今年</w:t>
      </w:r>
      <w:r>
        <w:rPr>
          <w:rFonts w:hint="eastAsia" w:ascii="仿宋_GB2312" w:hAnsi="仿宋_GB2312" w:eastAsia="仿宋_GB2312" w:cs="仿宋_GB2312"/>
          <w:b w:val="0"/>
          <w:bCs w:val="0"/>
          <w:color w:val="000000"/>
          <w:kern w:val="2"/>
          <w:sz w:val="32"/>
          <w:szCs w:val="32"/>
          <w:lang w:val="en-US" w:eastAsia="zh-CN" w:bidi="ar-SA"/>
        </w:rPr>
        <w:t>入河排污口整治任务。</w:t>
      </w:r>
      <w:r>
        <w:rPr>
          <w:rFonts w:hint="eastAsia" w:ascii="仿宋_GB2312" w:hAnsi="仿宋_GB2312" w:eastAsia="仿宋_GB2312" w:cs="仿宋_GB2312"/>
          <w:sz w:val="32"/>
          <w:szCs w:val="32"/>
          <w:lang w:val="en-US" w:eastAsia="zh-CN"/>
        </w:rPr>
        <w:t>其中2024年度整治任务为4个，目前均已完成整治并销号</w:t>
      </w:r>
      <w:bookmarkEnd w:id="15"/>
      <w:r>
        <w:rPr>
          <w:rFonts w:hint="eastAsia" w:ascii="仿宋_GB2312" w:hAnsi="仿宋_GB2312" w:eastAsia="仿宋_GB2312" w:cs="仿宋_GB2312"/>
          <w:sz w:val="32"/>
          <w:szCs w:val="32"/>
          <w:lang w:val="en-US" w:eastAsia="zh-CN"/>
        </w:rPr>
        <w:t>。到今年，长江、重点河湖入河排污口整治工作已全面完成，按照排污口治理有关要求，我局</w:t>
      </w:r>
      <w:r>
        <w:rPr>
          <w:rFonts w:hint="eastAsia" w:ascii="仿宋_GB2312" w:hAnsi="仿宋_GB2312" w:eastAsia="仿宋_GB2312" w:cs="仿宋_GB2312"/>
          <w:color w:val="000000"/>
          <w:kern w:val="0"/>
          <w:sz w:val="32"/>
          <w:szCs w:val="32"/>
          <w:lang w:val="en-US" w:eastAsia="zh-CN"/>
        </w:rPr>
        <w:t>持续督促排口监管部门推进入河排污口的监管巡查工作以确保整改长期有效；</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b/>
          <w:bCs/>
          <w:sz w:val="32"/>
          <w:szCs w:val="32"/>
          <w:lang w:val="en-US" w:eastAsia="zh-CN"/>
        </w:rPr>
        <w:t>是</w:t>
      </w:r>
      <w:bookmarkStart w:id="16" w:name="OLE_LINK15"/>
      <w:r>
        <w:rPr>
          <w:rFonts w:hint="eastAsia" w:ascii="仿宋_GB2312" w:hAnsi="仿宋_GB2312" w:eastAsia="仿宋_GB2312" w:cs="仿宋_GB2312"/>
          <w:b w:val="0"/>
          <w:bCs w:val="0"/>
          <w:color w:val="000000"/>
          <w:kern w:val="2"/>
          <w:sz w:val="32"/>
          <w:szCs w:val="32"/>
          <w:lang w:val="en-US" w:eastAsia="zh-CN" w:bidi="ar-SA"/>
        </w:rPr>
        <w:t>持续开展全区水生态环境质量监测。</w:t>
      </w:r>
      <w:r>
        <w:rPr>
          <w:rFonts w:hint="eastAsia" w:ascii="仿宋_GB2312" w:hAnsi="仿宋_GB2312" w:eastAsia="仿宋_GB2312" w:cs="仿宋_GB2312"/>
          <w:b w:val="0"/>
          <w:bCs w:val="0"/>
          <w:color w:val="000000"/>
          <w:sz w:val="32"/>
          <w:szCs w:val="32"/>
          <w:lang w:val="en-US" w:eastAsia="zh-CN"/>
        </w:rPr>
        <w:t>我分局按月度、季度</w:t>
      </w:r>
      <w:r>
        <w:rPr>
          <w:rFonts w:hint="eastAsia" w:ascii="仿宋_GB2312" w:hAnsi="仿宋_GB2312" w:eastAsia="仿宋_GB2312" w:cs="仿宋_GB2312"/>
          <w:sz w:val="32"/>
          <w:szCs w:val="32"/>
          <w:lang w:val="en-US" w:eastAsia="zh-CN"/>
        </w:rPr>
        <w:t>对全区重点管控水域进行采样分析，了解水质状况，针对水质状况不理想的点位进行溯源分析，落实整改</w:t>
      </w:r>
      <w:bookmarkEnd w:id="16"/>
      <w:r>
        <w:rPr>
          <w:rFonts w:hint="eastAsia" w:ascii="仿宋_GB2312" w:hAnsi="仿宋_GB2312" w:eastAsia="仿宋_GB2312" w:cs="仿宋_GB2312"/>
          <w:sz w:val="32"/>
          <w:szCs w:val="32"/>
          <w:lang w:val="en-US" w:eastAsia="zh-CN"/>
        </w:rPr>
        <w:t>。强化</w:t>
      </w:r>
      <w:r>
        <w:rPr>
          <w:rFonts w:hint="eastAsia" w:ascii="仿宋_GB2312" w:hAnsi="仿宋_GB2312" w:eastAsia="仿宋_GB2312" w:cs="仿宋_GB2312"/>
          <w:sz w:val="32"/>
          <w:szCs w:val="32"/>
          <w:lang w:eastAsia="zh-CN"/>
        </w:rPr>
        <w:t>沿线</w:t>
      </w:r>
      <w:r>
        <w:rPr>
          <w:rFonts w:hint="eastAsia" w:ascii="仿宋_GB2312" w:hAnsi="仿宋_GB2312" w:eastAsia="仿宋_GB2312" w:cs="仿宋_GB2312"/>
          <w:sz w:val="32"/>
          <w:szCs w:val="32"/>
        </w:rPr>
        <w:t>畜禽粪污、水产养殖尾水</w:t>
      </w:r>
      <w:r>
        <w:rPr>
          <w:rFonts w:hint="eastAsia" w:ascii="仿宋_GB2312" w:hAnsi="仿宋_GB2312" w:eastAsia="仿宋_GB2312" w:cs="仿宋_GB2312"/>
          <w:sz w:val="32"/>
          <w:szCs w:val="32"/>
          <w:lang w:eastAsia="zh-CN"/>
        </w:rPr>
        <w:t>处理</w:t>
      </w:r>
      <w:r>
        <w:rPr>
          <w:rFonts w:hint="eastAsia" w:ascii="仿宋_GB2312" w:hAnsi="仿宋_GB2312" w:eastAsia="仿宋_GB2312" w:cs="仿宋_GB2312"/>
          <w:sz w:val="32"/>
          <w:szCs w:val="32"/>
          <w:lang w:val="en-US" w:eastAsia="zh-CN"/>
        </w:rPr>
        <w:t>的管控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切实防止</w:t>
      </w:r>
      <w:r>
        <w:rPr>
          <w:rFonts w:hint="eastAsia" w:ascii="仿宋_GB2312" w:hAnsi="仿宋_GB2312" w:eastAsia="仿宋_GB2312" w:cs="仿宋_GB2312"/>
          <w:sz w:val="32"/>
          <w:szCs w:val="32"/>
        </w:rPr>
        <w:t>污水直排问题</w:t>
      </w:r>
      <w:r>
        <w:rPr>
          <w:rFonts w:hint="eastAsia" w:ascii="仿宋_GB2312" w:hAnsi="仿宋_GB2312" w:eastAsia="仿宋_GB2312" w:cs="仿宋_GB2312"/>
          <w:sz w:val="32"/>
          <w:szCs w:val="32"/>
          <w:lang w:eastAsia="zh-CN"/>
        </w:rPr>
        <w:t>。</w:t>
      </w:r>
      <w:bookmarkStart w:id="17" w:name="OLE_LINK16"/>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b/>
          <w:bCs/>
          <w:sz w:val="32"/>
          <w:szCs w:val="32"/>
          <w:lang w:val="en-US" w:eastAsia="zh-CN"/>
        </w:rPr>
        <w:t>是</w:t>
      </w:r>
      <w:r>
        <w:rPr>
          <w:rFonts w:hint="eastAsia" w:ascii="仿宋_GB2312" w:hAnsi="仿宋_GB2312" w:eastAsia="仿宋_GB2312" w:cs="仿宋_GB2312"/>
          <w:b w:val="0"/>
          <w:bCs w:val="0"/>
          <w:color w:val="000000"/>
          <w:kern w:val="2"/>
          <w:sz w:val="32"/>
          <w:szCs w:val="32"/>
          <w:lang w:val="en-US" w:eastAsia="zh-CN" w:bidi="ar-SA"/>
        </w:rPr>
        <w:t>开展饮用水水源地排查整治。</w:t>
      </w:r>
      <w:r>
        <w:rPr>
          <w:rFonts w:hint="eastAsia" w:ascii="仿宋_GB2312" w:hAnsi="仿宋_GB2312" w:eastAsia="仿宋_GB2312" w:cs="仿宋_GB2312"/>
          <w:b w:val="0"/>
          <w:bCs w:val="0"/>
          <w:color w:val="000000"/>
          <w:sz w:val="32"/>
          <w:szCs w:val="32"/>
          <w:lang w:val="en-US" w:eastAsia="zh-CN"/>
        </w:rPr>
        <w:t>按要求对河市镇供水一厂、二厂及湘江湘阴段屈原饮用水水源地三个饮用水水源地落实全年度现场排查与监管，共发现了3个现场问题，其中已立行立改两个，</w:t>
      </w:r>
      <w:r>
        <w:rPr>
          <w:rFonts w:hint="eastAsia" w:ascii="仿宋_GB2312" w:hAnsi="仿宋_GB2312" w:eastAsia="仿宋_GB2312" w:cs="仿宋_GB2312"/>
          <w:kern w:val="2"/>
          <w:sz w:val="32"/>
          <w:szCs w:val="32"/>
          <w:lang w:val="en-US" w:eastAsia="zh-CN" w:bidi="ar-SA"/>
        </w:rPr>
        <w:t>湘江湘阴段饮用水水源保护区</w:t>
      </w:r>
      <w:r>
        <w:rPr>
          <w:rFonts w:hint="eastAsia" w:ascii="仿宋_GB2312" w:hAnsi="仿宋_GB2312" w:eastAsia="仿宋_GB2312" w:cs="仿宋_GB2312"/>
          <w:kern w:val="2"/>
          <w:sz w:val="32"/>
          <w:szCs w:val="32"/>
          <w:highlight w:val="none"/>
          <w:lang w:val="en-US" w:eastAsia="zh-CN" w:bidi="ar-SA"/>
        </w:rPr>
        <w:t>的防护栏破损问</w:t>
      </w:r>
      <w:r>
        <w:rPr>
          <w:rFonts w:hint="eastAsia" w:ascii="仿宋_GB2312" w:hAnsi="仿宋_GB2312" w:eastAsia="仿宋_GB2312" w:cs="仿宋_GB2312"/>
          <w:kern w:val="2"/>
          <w:sz w:val="32"/>
          <w:szCs w:val="32"/>
          <w:lang w:val="en-US" w:eastAsia="zh-CN" w:bidi="ar-SA"/>
        </w:rPr>
        <w:t>题已完成修缮。</w:t>
      </w:r>
      <w:r>
        <w:rPr>
          <w:rFonts w:hint="eastAsia" w:ascii="仿宋_GB2312" w:hAnsi="仿宋_GB2312" w:eastAsia="仿宋_GB2312" w:cs="仿宋_GB2312"/>
          <w:b/>
          <w:bCs/>
          <w:kern w:val="2"/>
          <w:sz w:val="32"/>
          <w:szCs w:val="32"/>
          <w:lang w:val="en-US" w:eastAsia="zh-CN" w:bidi="ar-SA"/>
        </w:rPr>
        <w:t>四是</w:t>
      </w:r>
      <w:r>
        <w:rPr>
          <w:rFonts w:hint="eastAsia" w:ascii="仿宋_GB2312" w:hAnsi="仿宋_GB2312" w:eastAsia="仿宋_GB2312" w:cs="仿宋_GB2312"/>
          <w:b w:val="0"/>
          <w:bCs w:val="0"/>
          <w:color w:val="000000"/>
          <w:sz w:val="32"/>
          <w:szCs w:val="32"/>
          <w:lang w:val="en-US" w:eastAsia="zh-CN"/>
        </w:rPr>
        <w:t>落实集中式饮用水水源地规范化建设评估工作。对“千吨万人”、县级饮用水源地根据保护区划分报告要求开展评估工作，采集矢量数据，全面排查突出环境问题，摸清饮用水水源地规范化建设现状，形成基础设施台账底册。</w:t>
      </w:r>
    </w:p>
    <w:bookmarkEnd w:id="17"/>
    <w:p w14:paraId="156CA8D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val="0"/>
          <w:color w:val="000000"/>
          <w:kern w:val="0"/>
          <w:sz w:val="32"/>
          <w:szCs w:val="32"/>
          <w:highlight w:val="none"/>
          <w:lang w:val="en-US" w:eastAsia="zh-CN"/>
        </w:rPr>
      </w:pPr>
      <w:r>
        <w:rPr>
          <w:rFonts w:hint="eastAsia" w:ascii="楷体_GB2312" w:hAnsi="楷体_GB2312" w:eastAsia="楷体_GB2312" w:cs="楷体_GB2312"/>
          <w:b/>
          <w:bCs/>
          <w:sz w:val="32"/>
          <w:szCs w:val="32"/>
          <w:lang w:val="en-US" w:eastAsia="zh-CN"/>
        </w:rPr>
        <w:t>3.</w:t>
      </w:r>
      <w:bookmarkStart w:id="18" w:name="OLE_LINK18"/>
      <w:r>
        <w:rPr>
          <w:rFonts w:hint="eastAsia" w:ascii="楷体_GB2312" w:hAnsi="楷体_GB2312" w:eastAsia="楷体_GB2312" w:cs="楷体_GB2312"/>
          <w:b/>
          <w:bCs/>
          <w:sz w:val="32"/>
          <w:szCs w:val="32"/>
          <w:lang w:val="en-US" w:eastAsia="zh-CN"/>
        </w:rPr>
        <w:t>全力打好净土保卫战</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val="0"/>
          <w:sz w:val="32"/>
          <w:szCs w:val="32"/>
          <w:highlight w:val="none"/>
          <w:lang w:val="en-US" w:eastAsia="zh-CN"/>
        </w:rPr>
        <w:t>在对辖区内耕地周边涉镉污染源</w:t>
      </w:r>
      <w:r>
        <w:rPr>
          <w:rFonts w:hint="default" w:ascii="仿宋_GB2312" w:hAnsi="仿宋_GB2312" w:eastAsia="仿宋_GB2312" w:cs="仿宋_GB2312"/>
          <w:b w:val="0"/>
          <w:bCs w:val="0"/>
          <w:sz w:val="32"/>
          <w:szCs w:val="32"/>
          <w:highlight w:val="none"/>
          <w:lang w:eastAsia="zh-CN"/>
        </w:rPr>
        <w:t>的两个</w:t>
      </w:r>
      <w:r>
        <w:rPr>
          <w:rFonts w:hint="eastAsia" w:ascii="仿宋_GB2312" w:hAnsi="仿宋_GB2312" w:eastAsia="仿宋_GB2312" w:cs="仿宋_GB2312"/>
          <w:b w:val="0"/>
          <w:bCs w:val="0"/>
          <w:sz w:val="32"/>
          <w:szCs w:val="32"/>
          <w:highlight w:val="none"/>
          <w:lang w:val="en-US" w:eastAsia="zh-CN"/>
        </w:rPr>
        <w:t>企业开展涉镉污染源排查中，排查了企业配套环保设施工作情况，做到了达标排放，未发现企业环境风险</w:t>
      </w:r>
      <w:r>
        <w:rPr>
          <w:rFonts w:hint="default" w:ascii="仿宋_GB2312" w:hAnsi="仿宋_GB2312" w:eastAsia="仿宋_GB2312" w:cs="仿宋_GB2312"/>
          <w:b w:val="0"/>
          <w:bCs w:val="0"/>
          <w:sz w:val="32"/>
          <w:szCs w:val="32"/>
          <w:highlight w:val="none"/>
          <w:lang w:eastAsia="zh-CN"/>
        </w:rPr>
        <w:t>问题</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在开展两个疑似污染地块土壤污染状况调查工作</w:t>
      </w:r>
      <w:r>
        <w:rPr>
          <w:rFonts w:hint="default" w:ascii="仿宋_GB2312" w:hAnsi="仿宋_GB2312" w:eastAsia="仿宋_GB2312" w:cs="仿宋_GB2312"/>
          <w:b w:val="0"/>
          <w:bCs w:val="0"/>
          <w:sz w:val="32"/>
          <w:szCs w:val="32"/>
          <w:highlight w:val="none"/>
          <w:lang w:eastAsia="zh-CN"/>
        </w:rPr>
        <w:t>中</w:t>
      </w:r>
      <w:r>
        <w:rPr>
          <w:rFonts w:hint="eastAsia" w:ascii="仿宋_GB2312" w:hAnsi="仿宋_GB2312" w:eastAsia="仿宋_GB2312" w:cs="仿宋_GB2312"/>
          <w:b w:val="0"/>
          <w:bCs w:val="0"/>
          <w:sz w:val="32"/>
          <w:szCs w:val="32"/>
          <w:highlight w:val="none"/>
          <w:lang w:val="en-US" w:eastAsia="zh-CN"/>
        </w:rPr>
        <w:t>，经三方检测机构调查，未发现环境风险。</w:t>
      </w:r>
    </w:p>
    <w:bookmarkEnd w:id="18"/>
    <w:p w14:paraId="2EE046B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（二）在整改上提效，着力解决突出环境问题</w:t>
      </w:r>
    </w:p>
    <w:p w14:paraId="2D5617D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sz w:val="32"/>
          <w:szCs w:val="32"/>
          <w:lang w:val="en-US" w:eastAsia="zh-CN"/>
        </w:rPr>
        <w:t>1、</w:t>
      </w:r>
      <w:bookmarkStart w:id="19" w:name="OLE_LINK19"/>
      <w:r>
        <w:rPr>
          <w:rFonts w:hint="eastAsia" w:ascii="楷体_GB2312" w:hAnsi="楷体_GB2312" w:eastAsia="楷体_GB2312" w:cs="楷体_GB2312"/>
          <w:b/>
          <w:bCs/>
          <w:color w:val="000000"/>
          <w:sz w:val="32"/>
          <w:szCs w:val="32"/>
          <w:lang w:val="en-US" w:eastAsia="zh-CN"/>
        </w:rPr>
        <w:t>积极做好省厅巡察配合工作</w:t>
      </w:r>
      <w:r>
        <w:rPr>
          <w:rFonts w:hint="eastAsia" w:ascii="仿宋_GB2312" w:hAnsi="仿宋_GB2312" w:eastAsia="仿宋_GB2312" w:cs="仿宋_GB2312"/>
          <w:b/>
          <w:bCs/>
          <w:color w:val="000000"/>
          <w:sz w:val="32"/>
          <w:szCs w:val="32"/>
          <w:lang w:val="en-US" w:eastAsia="zh-CN"/>
        </w:rPr>
        <w:t>。</w:t>
      </w:r>
      <w:bookmarkEnd w:id="19"/>
      <w:r>
        <w:rPr>
          <w:rFonts w:hint="eastAsia" w:ascii="仿宋_GB2312" w:hAnsi="仿宋_GB2312" w:eastAsia="仿宋_GB2312" w:cs="仿宋_GB2312"/>
          <w:sz w:val="32"/>
          <w:szCs w:val="32"/>
          <w:lang w:val="en-US" w:eastAsia="zh-CN"/>
        </w:rPr>
        <w:t>我局高度重视此次专项巡察工作，根据《关于对市县生态环境系统开展专项巡察的通知》等文件要求，认真落实巡察工作领导小组要求，对照上级巡察所列的5类23个监督重点等68个问题，通过认真梳理，比照自身情况，逐项排查，梳理出的我分局未完全整改任务18个，对照本局实际情况明确整改时间节点、阶段目标任务、倒排工期、挂图作战、定期调度，及时报送相关材料，完成“同类同改、未巡先改”整改任务。</w:t>
      </w:r>
    </w:p>
    <w:p w14:paraId="54D8F8E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sz w:val="32"/>
          <w:szCs w:val="32"/>
          <w:lang w:val="en-US" w:eastAsia="zh-CN"/>
        </w:rPr>
      </w:pPr>
      <w:r>
        <w:rPr>
          <w:rFonts w:hint="eastAsia" w:ascii="楷体_GB2312" w:hAnsi="楷体_GB2312" w:eastAsia="楷体_GB2312" w:cs="楷体_GB2312"/>
          <w:b/>
          <w:bCs/>
          <w:sz w:val="32"/>
          <w:szCs w:val="32"/>
          <w:lang w:val="en-US" w:eastAsia="zh-CN"/>
        </w:rPr>
        <w:t>2、</w:t>
      </w:r>
      <w:bookmarkStart w:id="20" w:name="OLE_LINK21"/>
      <w:r>
        <w:rPr>
          <w:rFonts w:hint="eastAsia" w:ascii="楷体_GB2312" w:hAnsi="楷体_GB2312" w:eastAsia="楷体_GB2312" w:cs="楷体_GB2312"/>
          <w:b/>
          <w:bCs/>
          <w:sz w:val="32"/>
          <w:szCs w:val="32"/>
          <w:lang w:val="en-US" w:eastAsia="zh-CN"/>
        </w:rPr>
        <w:t>积极</w:t>
      </w:r>
      <w:r>
        <w:rPr>
          <w:rFonts w:hint="eastAsia" w:ascii="楷体_GB2312" w:hAnsi="楷体_GB2312" w:eastAsia="楷体_GB2312" w:cs="楷体_GB2312"/>
          <w:b/>
          <w:bCs/>
          <w:sz w:val="32"/>
          <w:szCs w:val="32"/>
          <w:highlight w:val="none"/>
          <w:lang w:val="en-US" w:eastAsia="zh-CN"/>
        </w:rPr>
        <w:t>做好中央、省级环保督察配合工作</w:t>
      </w:r>
      <w:bookmarkEnd w:id="20"/>
      <w:r>
        <w:rPr>
          <w:rFonts w:hint="eastAsia" w:ascii="楷体_GB2312" w:hAnsi="楷体_GB2312" w:eastAsia="楷体_GB2312" w:cs="楷体_GB2312"/>
          <w:b/>
          <w:bCs/>
          <w:sz w:val="32"/>
          <w:szCs w:val="32"/>
          <w:lang w:val="en-US" w:eastAsia="zh-CN"/>
        </w:rPr>
        <w:t>。</w:t>
      </w:r>
      <w:r>
        <w:rPr>
          <w:rFonts w:hint="eastAsia" w:ascii="仿宋_GB2312" w:hAnsi="仿宋_GB2312" w:eastAsia="仿宋_GB2312" w:cs="仿宋_GB2312"/>
          <w:sz w:val="32"/>
          <w:szCs w:val="32"/>
          <w:lang w:val="en-US" w:eastAsia="zh-CN"/>
        </w:rPr>
        <w:t>今年开展了两次高规格的环保督察，我局组织制定了《迎接中央、省级环保督察总体工作方案》，</w:t>
      </w:r>
      <w:bookmarkStart w:id="21" w:name="OLE_LINK22"/>
      <w:r>
        <w:rPr>
          <w:rFonts w:hint="eastAsia" w:ascii="仿宋_GB2312" w:hAnsi="仿宋_GB2312" w:eastAsia="仿宋_GB2312" w:cs="仿宋_GB2312"/>
          <w:sz w:val="32"/>
          <w:szCs w:val="32"/>
          <w:lang w:val="en-US" w:eastAsia="zh-CN"/>
        </w:rPr>
        <w:t>成立了工作协调联络领导小组，区党委、管委先后4次开展专题研究环保督察工作，区主要领导先后8次亲临现场督查、督办，高效、有力配合了中央、省级环保督察，</w:t>
      </w:r>
      <w:r>
        <w:rPr>
          <w:rFonts w:hint="eastAsia" w:ascii="仿宋_GB2312" w:eastAsia="仿宋_GB2312"/>
          <w:sz w:val="32"/>
          <w:szCs w:val="32"/>
          <w:lang w:val="en-US" w:eastAsia="zh-CN"/>
        </w:rPr>
        <w:t>省级环保督察期间共接信访件3件（重复件1）、中央环保督察期间共接信访件5件，现均已办结。</w:t>
      </w:r>
    </w:p>
    <w:bookmarkEnd w:id="21"/>
    <w:p w14:paraId="5ABC52BF">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rPr>
          <w:rFonts w:hint="eastAsia" w:ascii="仿宋_GB2312" w:eastAsia="仿宋_GB2312"/>
          <w:sz w:val="32"/>
          <w:szCs w:val="32"/>
          <w:lang w:val="en-US" w:eastAsia="zh-CN"/>
        </w:rPr>
      </w:pPr>
      <w:r>
        <w:rPr>
          <w:rFonts w:hint="eastAsia" w:ascii="楷体_GB2312" w:hAnsi="楷体_GB2312" w:eastAsia="楷体_GB2312" w:cs="楷体_GB2312"/>
          <w:b/>
          <w:bCs/>
          <w:sz w:val="32"/>
          <w:szCs w:val="32"/>
          <w:highlight w:val="none"/>
          <w:lang w:val="en-US" w:eastAsia="zh-CN"/>
        </w:rPr>
        <w:t>3.</w:t>
      </w:r>
      <w:bookmarkStart w:id="22" w:name="OLE_LINK23"/>
      <w:r>
        <w:rPr>
          <w:rFonts w:hint="eastAsia" w:ascii="楷体_GB2312" w:hAnsi="楷体_GB2312" w:eastAsia="楷体_GB2312" w:cs="楷体_GB2312"/>
          <w:b/>
          <w:bCs/>
          <w:sz w:val="32"/>
          <w:szCs w:val="32"/>
          <w:highlight w:val="none"/>
          <w:lang w:val="en-US" w:eastAsia="zh-CN"/>
        </w:rPr>
        <w:t>积极推进“夏季攻势”整改任务</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根据污染防治攻坚战夏季攻势任务，我区共有21项，已全部完成整治</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sz w:val="32"/>
          <w:szCs w:val="32"/>
          <w:lang w:val="en-US" w:eastAsia="zh-CN"/>
        </w:rPr>
        <w:t>农村黑臭水体、农田退水“零直排”综合试点、粪污水深度处理3个任务已完成全部任务整改并销号。</w:t>
      </w:r>
    </w:p>
    <w:bookmarkEnd w:id="22"/>
    <w:p w14:paraId="022C9B6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（三）在执法上提级</w:t>
      </w:r>
      <w:r>
        <w:rPr>
          <w:rFonts w:hint="eastAsia" w:ascii="黑体" w:hAnsi="黑体" w:eastAsia="黑体" w:cs="黑体"/>
          <w:b w:val="0"/>
          <w:bCs w:val="0"/>
          <w:i w:val="0"/>
          <w:iCs w:val="0"/>
          <w:caps w:val="0"/>
          <w:color w:val="333333"/>
          <w:spacing w:val="0"/>
          <w:sz w:val="32"/>
          <w:szCs w:val="32"/>
          <w:shd w:val="clear" w:fill="FFFFFF"/>
        </w:rPr>
        <w:t>，持续提升环境监管能力</w:t>
      </w:r>
    </w:p>
    <w:p w14:paraId="5AB5BD72">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楷体_GB2312" w:hAnsi="楷体_GB2312" w:eastAsia="楷体_GB2312" w:cs="楷体_GB2312"/>
          <w:b/>
          <w:bCs/>
          <w:color w:val="000000"/>
          <w:sz w:val="32"/>
          <w:szCs w:val="32"/>
          <w:lang w:val="en-US" w:eastAsia="zh-CN"/>
        </w:rPr>
        <w:t>1、</w:t>
      </w:r>
      <w:bookmarkStart w:id="23" w:name="OLE_LINK24"/>
      <w:r>
        <w:rPr>
          <w:rFonts w:hint="eastAsia" w:ascii="楷体_GB2312" w:hAnsi="楷体_GB2312" w:eastAsia="楷体_GB2312" w:cs="楷体_GB2312"/>
          <w:b/>
          <w:bCs/>
          <w:color w:val="000000"/>
          <w:sz w:val="32"/>
          <w:szCs w:val="32"/>
          <w:lang w:val="en-US" w:eastAsia="zh-CN"/>
        </w:rPr>
        <w:t>加大生态环境违法行为查处力度</w:t>
      </w:r>
      <w:bookmarkEnd w:id="23"/>
      <w:r>
        <w:rPr>
          <w:rFonts w:hint="eastAsia" w:ascii="楷体_GB2312" w:hAnsi="楷体_GB2312" w:eastAsia="楷体_GB2312" w:cs="楷体_GB2312"/>
          <w:b/>
          <w:bCs/>
          <w:color w:val="000000"/>
          <w:sz w:val="32"/>
          <w:szCs w:val="32"/>
          <w:lang w:val="en-US" w:eastAsia="zh-CN"/>
        </w:rPr>
        <w:t>。</w:t>
      </w:r>
      <w:r>
        <w:rPr>
          <w:rFonts w:hint="eastAsia" w:ascii="仿宋_GB2312" w:hAnsi="仿宋_GB2312" w:eastAsia="仿宋_GB2312" w:cs="仿宋_GB2312"/>
          <w:b w:val="0"/>
          <w:bCs w:val="0"/>
          <w:color w:val="000000"/>
          <w:sz w:val="32"/>
          <w:szCs w:val="32"/>
          <w:lang w:val="en-US" w:eastAsia="zh-CN"/>
        </w:rPr>
        <w:t>今年来，</w:t>
      </w:r>
      <w:r>
        <w:rPr>
          <w:rFonts w:hint="default" w:ascii="仿宋_GB2312" w:hAnsi="仿宋_GB2312" w:eastAsia="仿宋_GB2312" w:cs="仿宋_GB2312"/>
          <w:b w:val="0"/>
          <w:bCs w:val="0"/>
          <w:color w:val="000000"/>
          <w:sz w:val="32"/>
          <w:szCs w:val="32"/>
          <w:lang w:val="en-US" w:eastAsia="zh-CN"/>
        </w:rPr>
        <w:t>通过实施“双随机一公开”和“三查”行</w:t>
      </w:r>
      <w:r>
        <w:rPr>
          <w:rFonts w:hint="default" w:ascii="仿宋_GB2312" w:hAnsi="仿宋_GB2312" w:eastAsia="仿宋_GB2312" w:cs="仿宋_GB2312"/>
          <w:kern w:val="2"/>
          <w:sz w:val="32"/>
          <w:szCs w:val="32"/>
          <w:lang w:val="en-US" w:eastAsia="zh-CN" w:bidi="ar-SA"/>
        </w:rPr>
        <w:t>动</w:t>
      </w:r>
      <w:r>
        <w:rPr>
          <w:rFonts w:hint="eastAsia" w:ascii="仿宋_GB2312" w:hAnsi="仿宋_GB2312" w:eastAsia="仿宋_GB2312" w:cs="仿宋_GB2312"/>
          <w:kern w:val="2"/>
          <w:sz w:val="32"/>
          <w:szCs w:val="32"/>
          <w:lang w:val="en-US" w:eastAsia="zh-CN" w:bidi="ar-SA"/>
        </w:rPr>
        <w:t>并与</w:t>
      </w:r>
      <w:r>
        <w:rPr>
          <w:rFonts w:hint="default" w:ascii="仿宋_GB2312" w:hAnsi="仿宋_GB2312" w:eastAsia="仿宋_GB2312" w:cs="仿宋_GB2312"/>
          <w:kern w:val="2"/>
          <w:sz w:val="32"/>
          <w:szCs w:val="32"/>
          <w:lang w:val="en-US" w:eastAsia="zh-CN" w:bidi="ar-SA"/>
        </w:rPr>
        <w:t>中央、省级环保督察</w:t>
      </w:r>
      <w:r>
        <w:rPr>
          <w:rFonts w:hint="eastAsia" w:ascii="仿宋_GB2312" w:hAnsi="仿宋_GB2312" w:eastAsia="仿宋_GB2312" w:cs="仿宋_GB2312"/>
          <w:kern w:val="2"/>
          <w:sz w:val="32"/>
          <w:szCs w:val="32"/>
          <w:lang w:val="en-US" w:eastAsia="zh-CN" w:bidi="ar-SA"/>
        </w:rPr>
        <w:t>结合起来</w:t>
      </w:r>
      <w:r>
        <w:rPr>
          <w:rFonts w:hint="default" w:ascii="仿宋_GB2312" w:hAnsi="仿宋_GB2312" w:eastAsia="仿宋_GB2312" w:cs="仿宋_GB2312"/>
          <w:kern w:val="2"/>
          <w:sz w:val="32"/>
          <w:szCs w:val="32"/>
          <w:lang w:val="en-US" w:eastAsia="zh-CN" w:bidi="ar-SA"/>
        </w:rPr>
        <w:t>，</w:t>
      </w:r>
      <w:bookmarkStart w:id="24" w:name="OLE_LINK25"/>
      <w:r>
        <w:rPr>
          <w:rFonts w:hint="eastAsia" w:ascii="仿宋_GB2312" w:hAnsi="仿宋_GB2312" w:eastAsia="仿宋_GB2312" w:cs="仿宋_GB2312"/>
          <w:sz w:val="32"/>
          <w:szCs w:val="32"/>
        </w:rPr>
        <w:t>严格打击非法排污企业，</w:t>
      </w:r>
      <w:r>
        <w:rPr>
          <w:rFonts w:hint="eastAsia" w:ascii="仿宋_GB2312" w:hAnsi="仿宋_GB2312" w:eastAsia="仿宋_GB2312" w:cs="仿宋_GB2312"/>
          <w:b w:val="0"/>
          <w:bCs w:val="0"/>
          <w:color w:val="000000"/>
          <w:sz w:val="32"/>
          <w:szCs w:val="32"/>
          <w:lang w:val="en-US" w:eastAsia="zh-CN"/>
        </w:rPr>
        <w:t>累计出动执法260余人次，制作监察文书133份。在辖区内对50余家企业的执法过程中，累计处罚16家，下达行政处罚书15份，罚款103.67万元，同比增长229%，下达不予行政处罚决定书2份，免罚金额51.77万元，检查33家工业企业，整改18个问题。通过对企业的环境违法行为严抓严打，切实起到了“办理一件，警示一片”的成效。</w:t>
      </w:r>
      <w:bookmarkEnd w:id="24"/>
    </w:p>
    <w:p w14:paraId="291B0A6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baseline"/>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color w:val="000000"/>
          <w:kern w:val="2"/>
          <w:sz w:val="32"/>
          <w:szCs w:val="32"/>
          <w:lang w:val="en-US" w:eastAsia="zh-CN" w:bidi="ar-SA"/>
        </w:rPr>
        <w:t>2.</w:t>
      </w:r>
      <w:bookmarkStart w:id="25" w:name="OLE_LINK26"/>
      <w:r>
        <w:rPr>
          <w:rFonts w:hint="eastAsia" w:ascii="楷体_GB2312" w:hAnsi="楷体_GB2312" w:eastAsia="楷体_GB2312" w:cs="楷体_GB2312"/>
          <w:b/>
          <w:bCs/>
          <w:color w:val="000000"/>
          <w:kern w:val="2"/>
          <w:sz w:val="32"/>
          <w:szCs w:val="32"/>
          <w:lang w:val="en-US" w:eastAsia="zh-CN" w:bidi="ar-SA"/>
        </w:rPr>
        <w:t>着力开展执法专项行动</w:t>
      </w:r>
      <w:bookmarkEnd w:id="25"/>
      <w:r>
        <w:rPr>
          <w:rFonts w:hint="eastAsia" w:ascii="仿宋_GB2312" w:hAnsi="仿宋_GB2312" w:eastAsia="仿宋_GB2312" w:cs="仿宋_GB2312"/>
          <w:b/>
          <w:bCs/>
          <w:kern w:val="2"/>
          <w:sz w:val="32"/>
          <w:szCs w:val="32"/>
          <w:lang w:val="en-US" w:eastAsia="zh-CN" w:bidi="ar-SA"/>
        </w:rPr>
        <w:t>。</w:t>
      </w:r>
      <w:r>
        <w:rPr>
          <w:rFonts w:hint="default" w:ascii="仿宋_GB2312" w:hAnsi="仿宋_GB2312" w:eastAsia="仿宋_GB2312" w:cs="仿宋_GB2312"/>
          <w:b w:val="0"/>
          <w:bCs w:val="0"/>
          <w:color w:val="000000"/>
          <w:kern w:val="2"/>
          <w:sz w:val="32"/>
          <w:szCs w:val="32"/>
          <w:lang w:val="en-US" w:eastAsia="zh-CN" w:bidi="ar-SA"/>
        </w:rPr>
        <w:t>本年度，我分局开展了一系列专项行动，有效提升了环境监管水平。实施“利剑”行动，制定全区行动方案，重点监管相关企业，</w:t>
      </w:r>
      <w:bookmarkStart w:id="26" w:name="OLE_LINK27"/>
      <w:r>
        <w:rPr>
          <w:rFonts w:hint="eastAsia" w:ascii="仿宋_GB2312" w:hAnsi="仿宋_GB2312" w:eastAsia="仿宋_GB2312" w:cs="仿宋_GB2312"/>
          <w:b w:val="0"/>
          <w:bCs w:val="0"/>
          <w:color w:val="000000"/>
          <w:kern w:val="2"/>
          <w:sz w:val="32"/>
          <w:szCs w:val="32"/>
          <w:lang w:val="en-US" w:eastAsia="zh-CN" w:bidi="ar-SA"/>
        </w:rPr>
        <w:t>今年来共检查</w:t>
      </w:r>
      <w:r>
        <w:rPr>
          <w:rFonts w:hint="default" w:ascii="仿宋_GB2312" w:hAnsi="仿宋_GB2312" w:eastAsia="仿宋_GB2312" w:cs="仿宋_GB2312"/>
          <w:b w:val="0"/>
          <w:bCs w:val="0"/>
          <w:color w:val="000000"/>
          <w:kern w:val="2"/>
          <w:sz w:val="32"/>
          <w:szCs w:val="32"/>
          <w:lang w:val="en-US" w:eastAsia="zh-CN" w:bidi="ar-SA"/>
        </w:rPr>
        <w:t>9家企业，上报问题7个</w:t>
      </w:r>
      <w:r>
        <w:rPr>
          <w:rFonts w:hint="eastAsia" w:ascii="仿宋_GB2312" w:hAnsi="仿宋_GB2312" w:eastAsia="仿宋_GB2312" w:cs="仿宋_GB2312"/>
          <w:b w:val="0"/>
          <w:bCs w:val="0"/>
          <w:color w:val="000000"/>
          <w:kern w:val="2"/>
          <w:sz w:val="32"/>
          <w:szCs w:val="32"/>
          <w:lang w:val="en-US" w:eastAsia="zh-CN" w:bidi="ar-SA"/>
        </w:rPr>
        <w:t>；</w:t>
      </w:r>
      <w:bookmarkEnd w:id="26"/>
      <w:bookmarkStart w:id="27" w:name="OLE_LINK28"/>
      <w:r>
        <w:rPr>
          <w:rFonts w:hint="default" w:ascii="仿宋_GB2312" w:hAnsi="仿宋_GB2312" w:eastAsia="仿宋_GB2312" w:cs="仿宋_GB2312"/>
          <w:b w:val="0"/>
          <w:bCs w:val="0"/>
          <w:color w:val="000000"/>
          <w:kern w:val="2"/>
          <w:sz w:val="32"/>
          <w:szCs w:val="32"/>
          <w:lang w:val="en-US" w:eastAsia="zh-CN" w:bidi="ar-SA"/>
        </w:rPr>
        <w:t>在畜禽养殖业执法检查方面，全年共排查50家次，</w:t>
      </w:r>
      <w:bookmarkEnd w:id="27"/>
      <w:r>
        <w:rPr>
          <w:rFonts w:hint="default" w:ascii="仿宋_GB2312" w:hAnsi="仿宋_GB2312" w:eastAsia="仿宋_GB2312" w:cs="仿宋_GB2312"/>
          <w:b w:val="0"/>
          <w:bCs w:val="0"/>
          <w:color w:val="000000"/>
          <w:kern w:val="2"/>
          <w:sz w:val="32"/>
          <w:szCs w:val="32"/>
          <w:lang w:val="en-US" w:eastAsia="zh-CN" w:bidi="ar-SA"/>
        </w:rPr>
        <w:t>特别是在省级、中央环保督察期间，联合多部门开展联合执法，确保7家问题养殖场完成整改</w:t>
      </w:r>
      <w:r>
        <w:rPr>
          <w:rFonts w:hint="eastAsia" w:ascii="仿宋_GB2312" w:hAnsi="仿宋_GB2312" w:eastAsia="仿宋_GB2312" w:cs="仿宋_GB2312"/>
          <w:b w:val="0"/>
          <w:bCs w:val="0"/>
          <w:color w:val="000000"/>
          <w:kern w:val="2"/>
          <w:sz w:val="32"/>
          <w:szCs w:val="32"/>
          <w:lang w:val="en-US" w:eastAsia="zh-CN" w:bidi="ar-SA"/>
        </w:rPr>
        <w:t>；</w:t>
      </w:r>
      <w:r>
        <w:rPr>
          <w:rFonts w:hint="default" w:ascii="仿宋_GB2312" w:hAnsi="仿宋_GB2312" w:eastAsia="仿宋_GB2312" w:cs="仿宋_GB2312"/>
          <w:b w:val="0"/>
          <w:bCs w:val="0"/>
          <w:color w:val="000000"/>
          <w:kern w:val="2"/>
          <w:sz w:val="32"/>
          <w:szCs w:val="32"/>
          <w:lang w:val="en-US" w:eastAsia="zh-CN" w:bidi="ar-SA"/>
        </w:rPr>
        <w:t>针对新污染物，我</w:t>
      </w:r>
      <w:r>
        <w:rPr>
          <w:rFonts w:hint="eastAsia" w:ascii="仿宋_GB2312" w:hAnsi="仿宋_GB2312" w:eastAsia="仿宋_GB2312" w:cs="仿宋_GB2312"/>
          <w:b w:val="0"/>
          <w:bCs w:val="0"/>
          <w:color w:val="000000"/>
          <w:kern w:val="2"/>
          <w:sz w:val="32"/>
          <w:szCs w:val="32"/>
          <w:lang w:val="en-US" w:eastAsia="zh-CN" w:bidi="ar-SA"/>
        </w:rPr>
        <w:t>分局</w:t>
      </w:r>
      <w:r>
        <w:rPr>
          <w:rFonts w:hint="default" w:ascii="仿宋_GB2312" w:hAnsi="仿宋_GB2312" w:eastAsia="仿宋_GB2312" w:cs="仿宋_GB2312"/>
          <w:b w:val="0"/>
          <w:bCs w:val="0"/>
          <w:color w:val="000000"/>
          <w:kern w:val="2"/>
          <w:sz w:val="32"/>
          <w:szCs w:val="32"/>
          <w:lang w:val="en-US" w:eastAsia="zh-CN" w:bidi="ar-SA"/>
        </w:rPr>
        <w:t>依据清单进行全面排查，发现并整改问题4个</w:t>
      </w:r>
      <w:r>
        <w:rPr>
          <w:rFonts w:hint="eastAsia" w:ascii="仿宋_GB2312" w:hAnsi="仿宋_GB2312" w:eastAsia="仿宋_GB2312" w:cs="仿宋_GB2312"/>
          <w:b w:val="0"/>
          <w:bCs w:val="0"/>
          <w:color w:val="000000"/>
          <w:kern w:val="2"/>
          <w:sz w:val="32"/>
          <w:szCs w:val="32"/>
          <w:lang w:val="en-US" w:eastAsia="zh-CN" w:bidi="ar-SA"/>
        </w:rPr>
        <w:t>；</w:t>
      </w:r>
      <w:r>
        <w:rPr>
          <w:rFonts w:hint="default" w:ascii="仿宋_GB2312" w:hAnsi="仿宋_GB2312" w:eastAsia="仿宋_GB2312" w:cs="仿宋_GB2312"/>
          <w:b w:val="0"/>
          <w:bCs w:val="0"/>
          <w:color w:val="000000"/>
          <w:kern w:val="2"/>
          <w:sz w:val="32"/>
          <w:szCs w:val="32"/>
          <w:lang w:val="en-US" w:eastAsia="zh-CN" w:bidi="ar-SA"/>
        </w:rPr>
        <w:t>在“守护蓝天”专项检查中，对8家企业进行排查，整改问题3个</w:t>
      </w:r>
      <w:r>
        <w:rPr>
          <w:rFonts w:hint="eastAsia" w:ascii="仿宋_GB2312" w:hAnsi="仿宋_GB2312" w:eastAsia="仿宋_GB2312" w:cs="仿宋_GB2312"/>
          <w:b w:val="0"/>
          <w:bCs w:val="0"/>
          <w:color w:val="000000"/>
          <w:kern w:val="2"/>
          <w:sz w:val="32"/>
          <w:szCs w:val="32"/>
          <w:lang w:val="en-US" w:eastAsia="zh-CN" w:bidi="ar-SA"/>
        </w:rPr>
        <w:t>；</w:t>
      </w:r>
      <w:r>
        <w:rPr>
          <w:rFonts w:hint="default" w:ascii="仿宋_GB2312" w:hAnsi="仿宋_GB2312" w:eastAsia="仿宋_GB2312" w:cs="仿宋_GB2312"/>
          <w:b w:val="0"/>
          <w:bCs w:val="0"/>
          <w:color w:val="000000"/>
          <w:kern w:val="2"/>
          <w:sz w:val="32"/>
          <w:szCs w:val="32"/>
          <w:lang w:val="en-US" w:eastAsia="zh-CN" w:bidi="ar-SA"/>
        </w:rPr>
        <w:t>我</w:t>
      </w:r>
      <w:r>
        <w:rPr>
          <w:rFonts w:hint="eastAsia" w:ascii="仿宋_GB2312" w:hAnsi="仿宋_GB2312" w:eastAsia="仿宋_GB2312" w:cs="仿宋_GB2312"/>
          <w:b w:val="0"/>
          <w:bCs w:val="0"/>
          <w:color w:val="000000"/>
          <w:kern w:val="2"/>
          <w:sz w:val="32"/>
          <w:szCs w:val="32"/>
          <w:lang w:val="en-US" w:eastAsia="zh-CN" w:bidi="ar-SA"/>
        </w:rPr>
        <w:t>分局就</w:t>
      </w:r>
      <w:r>
        <w:rPr>
          <w:rFonts w:hint="default" w:ascii="仿宋_GB2312" w:hAnsi="仿宋_GB2312" w:eastAsia="仿宋_GB2312" w:cs="仿宋_GB2312"/>
          <w:b w:val="0"/>
          <w:bCs w:val="0"/>
          <w:color w:val="000000"/>
          <w:kern w:val="2"/>
          <w:sz w:val="32"/>
          <w:szCs w:val="32"/>
          <w:lang w:val="en-US" w:eastAsia="zh-CN" w:bidi="ar-SA"/>
        </w:rPr>
        <w:t>机动车排放检验领域</w:t>
      </w:r>
      <w:r>
        <w:rPr>
          <w:rFonts w:hint="eastAsia" w:ascii="仿宋_GB2312" w:hAnsi="仿宋_GB2312" w:eastAsia="仿宋_GB2312" w:cs="仿宋_GB2312"/>
          <w:b w:val="0"/>
          <w:bCs w:val="0"/>
          <w:color w:val="000000"/>
          <w:kern w:val="2"/>
          <w:sz w:val="32"/>
          <w:szCs w:val="32"/>
          <w:lang w:val="en-US" w:eastAsia="zh-CN" w:bidi="ar-SA"/>
        </w:rPr>
        <w:t>进行</w:t>
      </w:r>
      <w:r>
        <w:rPr>
          <w:rFonts w:hint="default" w:ascii="仿宋_GB2312" w:hAnsi="仿宋_GB2312" w:eastAsia="仿宋_GB2312" w:cs="仿宋_GB2312"/>
          <w:b w:val="0"/>
          <w:bCs w:val="0"/>
          <w:color w:val="000000"/>
          <w:kern w:val="2"/>
          <w:sz w:val="32"/>
          <w:szCs w:val="32"/>
          <w:lang w:val="en-US" w:eastAsia="zh-CN" w:bidi="ar-SA"/>
        </w:rPr>
        <w:t>专项整治，对我区2家第三方机构进行检查，整改问题2个</w:t>
      </w:r>
      <w:r>
        <w:rPr>
          <w:rFonts w:hint="eastAsia" w:ascii="仿宋_GB2312" w:hAnsi="仿宋_GB2312" w:eastAsia="仿宋_GB2312" w:cs="仿宋_GB2312"/>
          <w:b w:val="0"/>
          <w:bCs w:val="0"/>
          <w:color w:val="000000"/>
          <w:kern w:val="2"/>
          <w:sz w:val="32"/>
          <w:szCs w:val="32"/>
          <w:lang w:val="en-US" w:eastAsia="zh-CN" w:bidi="ar-SA"/>
        </w:rPr>
        <w:t>；</w:t>
      </w:r>
      <w:bookmarkStart w:id="28" w:name="OLE_LINK29"/>
      <w:r>
        <w:rPr>
          <w:rFonts w:hint="default" w:ascii="仿宋_GB2312" w:hAnsi="仿宋_GB2312" w:eastAsia="仿宋_GB2312" w:cs="仿宋_GB2312"/>
          <w:b w:val="0"/>
          <w:bCs w:val="0"/>
          <w:color w:val="000000"/>
          <w:kern w:val="2"/>
          <w:sz w:val="32"/>
          <w:szCs w:val="32"/>
          <w:lang w:val="en-US" w:eastAsia="zh-CN" w:bidi="ar-SA"/>
        </w:rPr>
        <w:t>在成品油流通市场“打非治违”百日行动中，对9家加油站进行全方位排查，</w:t>
      </w:r>
      <w:bookmarkEnd w:id="28"/>
      <w:r>
        <w:rPr>
          <w:rFonts w:hint="default" w:ascii="仿宋_GB2312" w:hAnsi="仿宋_GB2312" w:eastAsia="仿宋_GB2312" w:cs="仿宋_GB2312"/>
          <w:b w:val="0"/>
          <w:bCs w:val="0"/>
          <w:color w:val="000000"/>
          <w:kern w:val="2"/>
          <w:sz w:val="32"/>
          <w:szCs w:val="32"/>
          <w:lang w:val="en-US" w:eastAsia="zh-CN" w:bidi="ar-SA"/>
        </w:rPr>
        <w:t>重点关注油气回收系统和危险废物处置</w:t>
      </w:r>
      <w:r>
        <w:rPr>
          <w:rFonts w:hint="eastAsia" w:ascii="仿宋_GB2312" w:hAnsi="仿宋_GB2312" w:eastAsia="仿宋_GB2312" w:cs="仿宋_GB2312"/>
          <w:b w:val="0"/>
          <w:bCs w:val="0"/>
          <w:color w:val="000000"/>
          <w:kern w:val="2"/>
          <w:sz w:val="32"/>
          <w:szCs w:val="32"/>
          <w:lang w:val="en-US" w:eastAsia="zh-CN" w:bidi="ar-SA"/>
        </w:rPr>
        <w:t>；</w:t>
      </w:r>
      <w:r>
        <w:rPr>
          <w:rFonts w:hint="default" w:ascii="仿宋_GB2312" w:hAnsi="仿宋_GB2312" w:eastAsia="仿宋_GB2312" w:cs="仿宋_GB2312"/>
          <w:b w:val="0"/>
          <w:bCs w:val="0"/>
          <w:color w:val="000000"/>
          <w:kern w:val="2"/>
          <w:sz w:val="32"/>
          <w:szCs w:val="32"/>
          <w:lang w:val="en-US" w:eastAsia="zh-CN" w:bidi="ar-SA"/>
        </w:rPr>
        <w:t>在大气污染防治特护期，加大秸秆焚烧巡查力度，确保环境安全。</w:t>
      </w:r>
      <w:r>
        <w:rPr>
          <w:rFonts w:hint="eastAsia" w:ascii="仿宋_GB2312" w:hAnsi="仿宋_GB2312" w:eastAsia="仿宋_GB2312" w:cs="仿宋_GB2312"/>
          <w:b w:val="0"/>
          <w:bCs w:val="0"/>
          <w:sz w:val="32"/>
          <w:szCs w:val="32"/>
          <w:lang w:val="en-US" w:eastAsia="zh-CN"/>
        </w:rPr>
        <w:t>我局参加市生态环境综合行政执法大比武活动，获得了团体三等奖。</w:t>
      </w:r>
    </w:p>
    <w:p w14:paraId="37968F4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仿宋_GB2312" w:eastAsia="仿宋_GB2312"/>
          <w:sz w:val="32"/>
          <w:szCs w:val="32"/>
          <w:lang w:val="en-US" w:eastAsia="zh-CN"/>
        </w:rPr>
      </w:pPr>
      <w:r>
        <w:rPr>
          <w:rFonts w:hint="eastAsia" w:ascii="楷体_GB2312" w:hAnsi="楷体_GB2312" w:eastAsia="楷体_GB2312" w:cs="楷体_GB2312"/>
          <w:b/>
          <w:bCs/>
          <w:sz w:val="32"/>
          <w:szCs w:val="32"/>
          <w:lang w:val="en-US" w:eastAsia="zh-CN"/>
        </w:rPr>
        <w:t>3、</w:t>
      </w:r>
      <w:bookmarkStart w:id="29" w:name="OLE_LINK30"/>
      <w:r>
        <w:rPr>
          <w:rFonts w:hint="eastAsia" w:ascii="楷体_GB2312" w:hAnsi="楷体_GB2312" w:eastAsia="楷体_GB2312" w:cs="楷体_GB2312"/>
          <w:b/>
          <w:bCs/>
          <w:sz w:val="32"/>
          <w:szCs w:val="32"/>
          <w:lang w:val="en-US" w:eastAsia="zh-CN"/>
        </w:rPr>
        <w:t>做好生态环境信访调处</w:t>
      </w:r>
      <w:r>
        <w:rPr>
          <w:rFonts w:hint="eastAsia" w:ascii="仿宋_GB2312" w:eastAsia="仿宋_GB2312"/>
          <w:b/>
          <w:bCs/>
          <w:sz w:val="32"/>
          <w:szCs w:val="32"/>
          <w:lang w:val="en-US" w:eastAsia="zh-CN"/>
        </w:rPr>
        <w:t>。</w:t>
      </w:r>
      <w:bookmarkEnd w:id="29"/>
      <w:r>
        <w:rPr>
          <w:rFonts w:hint="eastAsia" w:ascii="仿宋_GB2312" w:hAnsi="仿宋_GB2312" w:eastAsia="仿宋_GB2312" w:cs="仿宋_GB2312"/>
          <w:sz w:val="32"/>
          <w:szCs w:val="32"/>
          <w:lang w:val="en-US" w:eastAsia="zh-CN"/>
        </w:rPr>
        <w:t>我局高度重视生态环境信访调处工作，安排专人负责信访工作，做到“件件有着落、事事有回音”。</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积极推进</w:t>
      </w:r>
      <w:r>
        <w:rPr>
          <w:rFonts w:hint="eastAsia" w:ascii="仿宋_GB2312" w:hAnsi="仿宋_GB2312" w:eastAsia="仿宋_GB2312" w:cs="仿宋_GB2312"/>
          <w:sz w:val="32"/>
          <w:szCs w:val="32"/>
          <w:lang w:val="en-US" w:eastAsia="zh-CN"/>
        </w:rPr>
        <w:t>中央、省级环保督察交办信访件全部办结。</w:t>
      </w:r>
      <w:r>
        <w:rPr>
          <w:rFonts w:hint="eastAsia" w:ascii="仿宋_GB2312" w:eastAsia="仿宋_GB2312"/>
          <w:b/>
          <w:bCs/>
          <w:sz w:val="32"/>
          <w:szCs w:val="32"/>
          <w:lang w:val="en-US" w:eastAsia="zh-CN"/>
        </w:rPr>
        <w:t>二是</w:t>
      </w:r>
      <w:r>
        <w:rPr>
          <w:rFonts w:hint="eastAsia" w:ascii="仿宋_GB2312" w:eastAsia="仿宋_GB2312"/>
          <w:sz w:val="32"/>
          <w:szCs w:val="32"/>
          <w:lang w:val="en-US" w:eastAsia="zh-CN"/>
        </w:rPr>
        <w:t>做好日常信访处理工作。</w:t>
      </w:r>
      <w:bookmarkStart w:id="30" w:name="OLE_LINK31"/>
      <w:r>
        <w:rPr>
          <w:rFonts w:hint="eastAsia" w:ascii="仿宋_GB2312" w:eastAsia="仿宋_GB2312"/>
          <w:sz w:val="32"/>
          <w:szCs w:val="32"/>
          <w:lang w:val="en-US" w:eastAsia="zh-CN"/>
        </w:rPr>
        <w:t>今年来，</w:t>
      </w:r>
      <w:r>
        <w:rPr>
          <w:rFonts w:hint="eastAsia" w:ascii="仿宋_GB2312" w:hAnsi="仿宋_GB2312" w:eastAsia="仿宋_GB2312" w:cs="仿宋_GB2312"/>
          <w:sz w:val="32"/>
          <w:szCs w:val="32"/>
          <w:lang w:val="en-US" w:eastAsia="zh-CN"/>
        </w:rPr>
        <w:t>我局通过各渠道接访共</w:t>
      </w:r>
      <w:r>
        <w:rPr>
          <w:rFonts w:hint="eastAsia" w:ascii="仿宋_GB2312" w:hAnsi="仿宋_GB2312" w:eastAsia="仿宋_GB2312" w:cs="仿宋_GB2312"/>
          <w:sz w:val="32"/>
          <w:szCs w:val="32"/>
        </w:rPr>
        <w:t>34余起，其中12369信访投诉4起，12345政务热线投诉件25起，现场及电话投诉5起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均已妥善处理</w:t>
      </w:r>
      <w:r>
        <w:rPr>
          <w:rFonts w:hint="eastAsia" w:ascii="仿宋_GB2312" w:hAnsi="仿宋_GB2312" w:eastAsia="仿宋_GB2312" w:cs="仿宋_GB2312"/>
          <w:sz w:val="32"/>
          <w:szCs w:val="32"/>
        </w:rPr>
        <w:t>。</w:t>
      </w:r>
    </w:p>
    <w:bookmarkEnd w:id="30"/>
    <w:p w14:paraId="516DDBB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（四）在服务上提升，全面优化辖区营商环境</w:t>
      </w:r>
    </w:p>
    <w:p w14:paraId="5A5C21C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color w:val="000000"/>
          <w:sz w:val="32"/>
          <w:szCs w:val="32"/>
          <w:lang w:val="en-US" w:eastAsia="zh-CN"/>
        </w:rPr>
        <w:t>1、做好项目环评审批工作</w:t>
      </w:r>
      <w:r>
        <w:rPr>
          <w:rFonts w:hint="eastAsia" w:ascii="仿宋_GB2312" w:hAnsi="仿宋_GB2312" w:eastAsia="仿宋_GB2312" w:cs="仿宋_GB2312"/>
          <w:b w:val="0"/>
          <w:bCs w:val="0"/>
          <w:color w:val="000000"/>
          <w:sz w:val="32"/>
          <w:szCs w:val="32"/>
          <w:lang w:val="en-US" w:eastAsia="zh-CN"/>
        </w:rPr>
        <w:t>。我分局</w:t>
      </w:r>
      <w:r>
        <w:rPr>
          <w:rFonts w:hint="eastAsia" w:ascii="仿宋_GB2312" w:hAnsi="仿宋_GB2312" w:eastAsia="仿宋_GB2312" w:cs="仿宋_GB2312"/>
          <w:kern w:val="2"/>
          <w:sz w:val="32"/>
          <w:szCs w:val="32"/>
          <w:lang w:val="en-US" w:eastAsia="zh-CN" w:bidi="ar-SA"/>
        </w:rPr>
        <w:t>深化“放管服”改革，简化行政审批流程，今年来，累计</w:t>
      </w:r>
      <w:r>
        <w:rPr>
          <w:rFonts w:hint="eastAsia" w:ascii="仿宋_GB2312" w:hAnsi="仿宋_GB2312" w:eastAsia="仿宋_GB2312" w:cs="仿宋_GB2312"/>
          <w:b w:val="0"/>
          <w:bCs w:val="0"/>
          <w:color w:val="000000"/>
          <w:sz w:val="32"/>
          <w:szCs w:val="32"/>
          <w:lang w:val="en-US" w:eastAsia="zh-CN"/>
        </w:rPr>
        <w:t>受理企业建设项目环境影响评价报告表10个，均已完成审批。</w:t>
      </w:r>
      <w:r>
        <w:rPr>
          <w:rFonts w:hint="eastAsia" w:ascii="仿宋_GB2312" w:hAnsi="仿宋_GB2312" w:eastAsia="仿宋_GB2312" w:cs="仿宋_GB2312"/>
          <w:kern w:val="2"/>
          <w:sz w:val="32"/>
          <w:szCs w:val="32"/>
          <w:lang w:val="en-US" w:eastAsia="zh-CN" w:bidi="ar-SA"/>
        </w:rPr>
        <w:t>同时，加强企业帮扶力度，建立企业联络员制度，定期走访企业，解决生产经营中的困难；加强政策宣传和解读，帮助企业用好用足政策；构建亲清新型政商关系，坚持廉洁从政，规范政商交往；持续开展营商环境评价，建立健全评价体系，不断提升营商环境整体水平。</w:t>
      </w:r>
    </w:p>
    <w:p w14:paraId="70AA080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楷体_GB2312" w:hAnsi="楷体_GB2312" w:eastAsia="楷体_GB2312" w:cs="楷体_GB2312"/>
          <w:b/>
          <w:bCs/>
          <w:color w:val="000000"/>
          <w:sz w:val="32"/>
          <w:szCs w:val="32"/>
          <w:lang w:val="en-US" w:eastAsia="zh-CN"/>
        </w:rPr>
        <w:t>2、做好企业排污许可证管理服务工作</w:t>
      </w:r>
      <w:r>
        <w:rPr>
          <w:rFonts w:hint="eastAsia" w:ascii="仿宋_GB2312" w:hAnsi="仿宋_GB2312" w:eastAsia="仿宋_GB2312" w:cs="仿宋_GB2312"/>
          <w:b/>
          <w:bCs/>
          <w:color w:val="000000"/>
          <w:sz w:val="32"/>
          <w:szCs w:val="32"/>
          <w:lang w:val="en-US" w:eastAsia="zh-CN"/>
        </w:rPr>
        <w:t>。</w:t>
      </w:r>
      <w:r>
        <w:rPr>
          <w:rFonts w:hint="eastAsia" w:ascii="仿宋_GB2312" w:hAnsi="仿宋_GB2312" w:eastAsia="仿宋_GB2312" w:cs="仿宋_GB2312"/>
          <w:b w:val="0"/>
          <w:bCs w:val="0"/>
          <w:color w:val="000000"/>
          <w:sz w:val="32"/>
          <w:szCs w:val="32"/>
          <w:lang w:val="en-US" w:eastAsia="zh-CN"/>
        </w:rPr>
        <w:t>持续落实排污许可及自行监测工作，以会前动员部署，会后实地检查、调阅资料的形式对全区27家发证企业监测方案制定、自行监测开展、排污许可内容等方面开展了全面排查，按照自行监测现场评估细则逐项评估，经排查，有5家企业停产，22家企业能达到基本规范，未发现环境违法行为。</w:t>
      </w:r>
    </w:p>
    <w:p w14:paraId="30CA0262">
      <w:pPr>
        <w:pStyle w:val="2"/>
        <w:rPr>
          <w:rFonts w:hint="default"/>
          <w:lang w:eastAsia="zh-CN"/>
        </w:rPr>
      </w:pPr>
      <w:r>
        <w:rPr>
          <w:rFonts w:hint="eastAsia" w:ascii="楷体_GB2312" w:hAnsi="楷体_GB2312" w:eastAsia="楷体_GB2312" w:cs="楷体_GB2312"/>
          <w:b/>
          <w:bCs/>
          <w:color w:val="000000"/>
          <w:sz w:val="32"/>
          <w:szCs w:val="32"/>
          <w:lang w:val="en-US" w:eastAsia="zh-CN"/>
        </w:rPr>
        <w:t>3、做好全区高质量发展服务工作</w:t>
      </w:r>
      <w:r>
        <w:rPr>
          <w:rFonts w:hint="eastAsia" w:ascii="仿宋_GB2312" w:hAnsi="仿宋_GB2312" w:eastAsia="仿宋_GB2312" w:cs="仿宋_GB2312"/>
          <w:b/>
          <w:bCs/>
          <w:color w:val="000000"/>
          <w:sz w:val="32"/>
          <w:szCs w:val="32"/>
          <w:lang w:val="en-US" w:eastAsia="zh-CN"/>
        </w:rPr>
        <w:t>。</w:t>
      </w:r>
      <w:r>
        <w:rPr>
          <w:rFonts w:hint="eastAsia" w:ascii="仿宋_GB2312" w:hAnsi="仿宋_GB2312" w:eastAsia="仿宋_GB2312" w:cs="仿宋_GB2312"/>
          <w:b w:val="0"/>
          <w:bCs w:val="0"/>
          <w:color w:val="000000"/>
          <w:sz w:val="32"/>
          <w:szCs w:val="32"/>
          <w:lang w:val="en-US" w:eastAsia="zh-CN"/>
        </w:rPr>
        <w:t>为服务全区经济社会高质量发展，我局全力开展向上争资争项工作，累计已争取项目资金4000万元，其中</w:t>
      </w:r>
      <w:r>
        <w:rPr>
          <w:rFonts w:hint="eastAsia" w:ascii="仿宋_GB2312" w:hAnsi="仿宋_GB2312" w:eastAsia="仿宋_GB2312" w:cs="仿宋_GB2312"/>
          <w:sz w:val="32"/>
          <w:szCs w:val="32"/>
          <w:highlight w:val="none"/>
          <w:lang w:val="en-US" w:eastAsia="zh-CN"/>
        </w:rPr>
        <w:t>屈原管理区污水处理厂尾水人工湿地净化项目已完成实施方案编制与初步设计，正在进行财评；</w:t>
      </w:r>
      <w:r>
        <w:rPr>
          <w:rFonts w:hint="eastAsia" w:ascii="仿宋_GB2312" w:hAnsi="仿宋_GB2312" w:eastAsia="仿宋_GB2312" w:cs="仿宋_GB2312"/>
          <w:sz w:val="32"/>
          <w:szCs w:val="32"/>
          <w:lang w:val="en-US" w:eastAsia="zh-CN"/>
        </w:rPr>
        <w:t>一道撇洪渠流域水环境整治与生态修复项目资金已下拨，目前正初步设计；湘江屈原管理区段水环境治理及生态修复项目正在申报入库</w:t>
      </w:r>
      <w:r>
        <w:rPr>
          <w:rFonts w:hint="default" w:ascii="仿宋_GB2312" w:hAnsi="仿宋_GB2312" w:eastAsia="仿宋_GB2312" w:cs="仿宋_GB2312"/>
          <w:sz w:val="32"/>
          <w:szCs w:val="32"/>
          <w:lang w:eastAsia="zh-CN"/>
        </w:rPr>
        <w:t>；农村黑臭水体治理任务已</w:t>
      </w:r>
      <w:r>
        <w:rPr>
          <w:rFonts w:hint="eastAsia" w:ascii="仿宋_GB2312" w:hAnsi="仿宋_GB2312" w:eastAsia="仿宋_GB2312" w:cs="仿宋_GB2312"/>
          <w:sz w:val="32"/>
          <w:szCs w:val="32"/>
          <w:lang w:val="en-US" w:eastAsia="zh-CN"/>
        </w:rPr>
        <w:t>全部完成</w:t>
      </w:r>
      <w:r>
        <w:rPr>
          <w:rFonts w:hint="default" w:ascii="仿宋_GB2312" w:hAnsi="仿宋_GB2312" w:eastAsia="仿宋_GB2312" w:cs="仿宋_GB2312"/>
          <w:sz w:val="32"/>
          <w:szCs w:val="32"/>
          <w:lang w:eastAsia="zh-CN"/>
        </w:rPr>
        <w:t>。</w:t>
      </w:r>
    </w:p>
    <w:p w14:paraId="4B78FBE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（五）在思想上提高</w:t>
      </w:r>
      <w:r>
        <w:rPr>
          <w:rFonts w:hint="eastAsia" w:ascii="黑体" w:hAnsi="黑体" w:eastAsia="黑体" w:cs="黑体"/>
          <w:b w:val="0"/>
          <w:bCs w:val="0"/>
          <w:i w:val="0"/>
          <w:iCs w:val="0"/>
          <w:caps w:val="0"/>
          <w:color w:val="333333"/>
          <w:spacing w:val="0"/>
          <w:sz w:val="32"/>
          <w:szCs w:val="32"/>
          <w:shd w:val="clear" w:fill="FFFFFF"/>
        </w:rPr>
        <w:t>，</w:t>
      </w:r>
      <w:r>
        <w:rPr>
          <w:rFonts w:hint="eastAsia" w:ascii="黑体" w:hAnsi="黑体" w:eastAsia="黑体" w:cs="黑体"/>
          <w:b w:val="0"/>
          <w:bCs w:val="0"/>
          <w:i w:val="0"/>
          <w:iCs w:val="0"/>
          <w:caps w:val="0"/>
          <w:color w:val="333333"/>
          <w:spacing w:val="0"/>
          <w:sz w:val="32"/>
          <w:szCs w:val="32"/>
          <w:shd w:val="clear" w:fill="FFFFFF"/>
          <w:lang w:val="en-US" w:eastAsia="zh-CN"/>
        </w:rPr>
        <w:t>全力抓好党风廉政建设</w:t>
      </w:r>
    </w:p>
    <w:p w14:paraId="74714991">
      <w:pPr>
        <w:keepNext w:val="0"/>
        <w:keepLines w:val="0"/>
        <w:pageBreakBefore w:val="0"/>
        <w:widowControl w:val="0"/>
        <w:numPr>
          <w:ilvl w:val="0"/>
          <w:numId w:val="0"/>
        </w:numPr>
        <w:tabs>
          <w:tab w:val="left" w:pos="3684"/>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楷体_GB2312" w:hAnsi="楷体_GB2312" w:eastAsia="楷体_GB2312" w:cs="楷体_GB2312"/>
          <w:b/>
          <w:bCs/>
          <w:kern w:val="2"/>
          <w:sz w:val="32"/>
          <w:szCs w:val="32"/>
          <w:lang w:val="en-US" w:eastAsia="zh-CN" w:bidi="ar-SA"/>
        </w:rPr>
        <w:t>1、加强党支部建设日常工作，做好党纪学习教育。</w:t>
      </w:r>
      <w:r>
        <w:rPr>
          <w:rFonts w:hint="eastAsia" w:ascii="仿宋_GB2312" w:hAnsi="仿宋_GB2312" w:eastAsia="仿宋_GB2312" w:cs="仿宋_GB2312"/>
          <w:sz w:val="32"/>
          <w:szCs w:val="32"/>
          <w:highlight w:val="none"/>
          <w:lang w:val="en-US" w:eastAsia="zh-CN"/>
        </w:rPr>
        <w:t>分局</w:t>
      </w:r>
      <w:r>
        <w:rPr>
          <w:rFonts w:hint="eastAsia" w:ascii="仿宋_GB2312" w:hAnsi="仿宋_GB2312" w:eastAsia="仿宋_GB2312" w:cs="仿宋_GB2312"/>
          <w:sz w:val="32"/>
          <w:szCs w:val="32"/>
          <w:highlight w:val="none"/>
        </w:rPr>
        <w:t>坚持以习近平新时代中国特色社会主义思想为指导，</w:t>
      </w:r>
      <w:r>
        <w:rPr>
          <w:rFonts w:hint="eastAsia" w:ascii="仿宋_GB2312" w:hAnsi="仿宋_GB2312" w:eastAsia="仿宋_GB2312" w:cs="仿宋_GB2312"/>
          <w:sz w:val="32"/>
          <w:szCs w:val="32"/>
          <w:highlight w:val="none"/>
          <w:lang w:val="en-US" w:eastAsia="zh-CN"/>
        </w:rPr>
        <w:t>带头</w:t>
      </w:r>
      <w:r>
        <w:rPr>
          <w:rFonts w:hint="eastAsia" w:ascii="仿宋_GB2312" w:hAnsi="仿宋_GB2312" w:eastAsia="仿宋_GB2312" w:cs="仿宋_GB2312"/>
          <w:sz w:val="32"/>
          <w:szCs w:val="32"/>
          <w:highlight w:val="none"/>
        </w:rPr>
        <w:t>深入学习贯彻习近平生态文明思想</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落实党纪学习教育</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定期组织</w:t>
      </w:r>
      <w:r>
        <w:rPr>
          <w:rFonts w:hint="eastAsia" w:ascii="仿宋_GB2312" w:hAnsi="仿宋_GB2312" w:eastAsia="仿宋_GB2312" w:cs="仿宋_GB2312"/>
          <w:sz w:val="32"/>
          <w:szCs w:val="32"/>
          <w:highlight w:val="none"/>
          <w:lang w:eastAsia="zh-CN"/>
        </w:rPr>
        <w:t>党</w:t>
      </w:r>
      <w:r>
        <w:rPr>
          <w:rFonts w:hint="eastAsia" w:ascii="仿宋_GB2312" w:hAnsi="仿宋_GB2312" w:eastAsia="仿宋_GB2312" w:cs="仿宋_GB2312"/>
          <w:sz w:val="32"/>
          <w:szCs w:val="32"/>
          <w:highlight w:val="none"/>
        </w:rPr>
        <w:t>员深入学习党的创新理论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党内重要法规，</w:t>
      </w:r>
      <w:r>
        <w:rPr>
          <w:rFonts w:hint="eastAsia" w:ascii="仿宋_GB2312" w:hAnsi="仿宋_GB2312" w:eastAsia="仿宋_GB2312" w:cs="仿宋_GB2312"/>
          <w:kern w:val="2"/>
          <w:sz w:val="32"/>
          <w:szCs w:val="32"/>
          <w:lang w:val="en-US" w:eastAsia="zh-CN" w:bidi="ar-SA"/>
        </w:rPr>
        <w:t>将“一月一课一片一实践”、“三会一课”、“走、访、找、促”与清廉单元建设、生态环境主责主业进行有机结合，开展</w:t>
      </w:r>
      <w:r>
        <w:rPr>
          <w:rFonts w:hint="eastAsia" w:ascii="仿宋_GB2312" w:hAnsi="仿宋_GB2312" w:eastAsia="仿宋_GB2312" w:cs="仿宋_GB2312"/>
          <w:b w:val="0"/>
          <w:bCs w:val="0"/>
          <w:color w:val="000000"/>
          <w:sz w:val="32"/>
          <w:szCs w:val="32"/>
          <w:lang w:val="en-US" w:eastAsia="zh-CN"/>
        </w:rPr>
        <w:t>案例警示教育</w:t>
      </w:r>
      <w:r>
        <w:rPr>
          <w:rFonts w:hint="eastAsia" w:ascii="仿宋_GB2312" w:hAnsi="仿宋_GB2312" w:eastAsia="仿宋_GB2312" w:cs="仿宋_GB2312"/>
          <w:kern w:val="2"/>
          <w:sz w:val="32"/>
          <w:szCs w:val="32"/>
          <w:lang w:val="en-US" w:eastAsia="zh-CN" w:bidi="ar-SA"/>
        </w:rPr>
        <w:t>、党风廉政建设。</w:t>
      </w:r>
      <w:r>
        <w:rPr>
          <w:rFonts w:hint="eastAsia" w:ascii="仿宋_GB2312" w:hAnsi="仿宋_GB2312" w:eastAsia="仿宋_GB2312" w:cs="仿宋_GB2312"/>
          <w:sz w:val="32"/>
          <w:szCs w:val="32"/>
          <w:lang w:val="en-US" w:eastAsia="zh-CN"/>
        </w:rPr>
        <w:t>全年</w:t>
      </w:r>
      <w:r>
        <w:rPr>
          <w:rFonts w:hint="eastAsia" w:ascii="仿宋_GB2312" w:hAnsi="仿宋_GB2312" w:eastAsia="仿宋_GB2312" w:cs="仿宋_GB2312"/>
          <w:sz w:val="32"/>
          <w:szCs w:val="32"/>
        </w:rPr>
        <w:t>开展集中学习和专题研讨活动</w:t>
      </w:r>
      <w:r>
        <w:rPr>
          <w:rFonts w:hint="eastAsia" w:ascii="仿宋_GB2312" w:hAnsi="仿宋_GB2312" w:eastAsia="仿宋_GB2312" w:cs="仿宋_GB2312"/>
          <w:sz w:val="32"/>
          <w:szCs w:val="32"/>
          <w:lang w:val="en-US" w:eastAsia="zh-CN"/>
        </w:rPr>
        <w:t>15次，每半月开展一次党纪集中学习暨党员学习心得分享，推进党纪主题教育常态化，</w:t>
      </w:r>
      <w:r>
        <w:rPr>
          <w:rFonts w:hint="eastAsia" w:ascii="仿宋_GB2312" w:hAnsi="仿宋_GB2312" w:eastAsia="仿宋_GB2312" w:cs="仿宋_GB2312"/>
          <w:kern w:val="2"/>
          <w:sz w:val="32"/>
          <w:szCs w:val="32"/>
          <w:lang w:val="en-US" w:eastAsia="zh-CN" w:bidi="ar-SA"/>
        </w:rPr>
        <w:t>开展典型案例专题警示教育5次；</w:t>
      </w:r>
      <w:r>
        <w:rPr>
          <w:rFonts w:hint="eastAsia" w:ascii="仿宋_GB2312" w:hAnsi="仿宋_GB2312" w:eastAsia="仿宋_GB2312" w:cs="仿宋_GB2312"/>
          <w:sz w:val="32"/>
          <w:szCs w:val="32"/>
        </w:rPr>
        <w:t>创新学习形式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积极开展党性教育活动，组织党员干部参观</w:t>
      </w:r>
      <w:r>
        <w:rPr>
          <w:rFonts w:hint="eastAsia" w:ascii="仿宋_GB2312" w:hAnsi="仿宋_GB2312" w:eastAsia="仿宋_GB2312" w:cs="仿宋_GB2312"/>
          <w:sz w:val="32"/>
          <w:szCs w:val="32"/>
          <w:lang w:val="en-US" w:eastAsia="zh-CN"/>
        </w:rPr>
        <w:t>屈原管理区河伯潭屈子纪念园、左宗棠文化园等红色教育基地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同时与</w:t>
      </w:r>
      <w:r>
        <w:rPr>
          <w:rFonts w:hint="eastAsia" w:ascii="仿宋_GB2312" w:hAnsi="仿宋_GB2312" w:eastAsia="仿宋_GB2312" w:cs="仿宋_GB2312"/>
          <w:sz w:val="32"/>
          <w:szCs w:val="32"/>
          <w:lang w:eastAsia="zh-CN"/>
        </w:rPr>
        <w:t>省生态环境农村工作站党支部</w:t>
      </w:r>
      <w:r>
        <w:rPr>
          <w:rFonts w:hint="eastAsia" w:ascii="仿宋_GB2312" w:hAnsi="仿宋_GB2312" w:eastAsia="仿宋_GB2312" w:cs="仿宋_GB2312"/>
          <w:sz w:val="32"/>
          <w:szCs w:val="32"/>
          <w:lang w:val="en-US" w:eastAsia="zh-CN"/>
        </w:rPr>
        <w:t>开展了主题党日暨支部联基层活动，实现党建工作与基层农村环境整治同频共振，重温入党誓词，传承红色基因，激发党员干部的担当精</w:t>
      </w:r>
      <w:r>
        <w:rPr>
          <w:rFonts w:hint="eastAsia" w:ascii="仿宋_GB2312" w:hAnsi="仿宋_GB2312" w:eastAsia="仿宋_GB2312" w:cs="仿宋_GB2312"/>
          <w:sz w:val="32"/>
          <w:szCs w:val="32"/>
        </w:rPr>
        <w:t>神和奉献精神</w:t>
      </w:r>
      <w:r>
        <w:rPr>
          <w:rFonts w:hint="eastAsia" w:ascii="仿宋_GB2312" w:hAnsi="仿宋_GB2312" w:eastAsia="仿宋_GB2312" w:cs="仿宋_GB2312"/>
          <w:sz w:val="32"/>
          <w:szCs w:val="32"/>
          <w:lang w:eastAsia="zh-CN"/>
        </w:rPr>
        <w:t>，参与党员人数达到</w:t>
      </w:r>
      <w:r>
        <w:rPr>
          <w:rFonts w:hint="eastAsia" w:ascii="仿宋_GB2312" w:hAnsi="仿宋_GB2312" w:eastAsia="仿宋_GB2312" w:cs="仿宋_GB2312"/>
          <w:sz w:val="32"/>
          <w:szCs w:val="32"/>
          <w:lang w:val="en-US" w:eastAsia="zh-CN"/>
        </w:rPr>
        <w:t>30人次。</w:t>
      </w:r>
      <w:r>
        <w:rPr>
          <w:rFonts w:hint="eastAsia" w:ascii="仿宋_GB2312" w:hAnsi="仿宋_GB2312" w:eastAsia="仿宋_GB2312" w:cs="仿宋_GB2312"/>
          <w:kern w:val="2"/>
          <w:sz w:val="32"/>
          <w:szCs w:val="32"/>
          <w:lang w:val="en-US" w:eastAsia="zh-CN" w:bidi="ar-SA"/>
        </w:rPr>
        <w:t>截至目前，</w:t>
      </w:r>
      <w:r>
        <w:rPr>
          <w:rFonts w:hint="eastAsia" w:ascii="仿宋_GB2312" w:hAnsi="仿宋_GB2312" w:eastAsia="仿宋_GB2312" w:cs="仿宋_GB2312"/>
          <w:b w:val="0"/>
          <w:bCs w:val="0"/>
          <w:color w:val="000000"/>
          <w:sz w:val="32"/>
          <w:szCs w:val="32"/>
          <w:lang w:val="en-US" w:eastAsia="zh-CN"/>
        </w:rPr>
        <w:t>分局未发生违法违纪事件。</w:t>
      </w:r>
    </w:p>
    <w:p w14:paraId="4D388008">
      <w:pPr>
        <w:keepNext w:val="0"/>
        <w:keepLines w:val="0"/>
        <w:pageBreakBefore w:val="0"/>
        <w:widowControl w:val="0"/>
        <w:numPr>
          <w:ilvl w:val="0"/>
          <w:numId w:val="0"/>
        </w:numPr>
        <w:tabs>
          <w:tab w:val="left" w:pos="3684"/>
        </w:tabs>
        <w:kinsoku/>
        <w:wordWrap/>
        <w:overflowPunct/>
        <w:topLinePunct w:val="0"/>
        <w:autoSpaceDE/>
        <w:autoSpaceDN/>
        <w:bidi w:val="0"/>
        <w:adjustRightInd/>
        <w:snapToGrid/>
        <w:spacing w:line="600" w:lineRule="exact"/>
        <w:ind w:firstLine="643" w:firstLineChars="200"/>
        <w:textAlignment w:val="auto"/>
        <w:rPr>
          <w:rFonts w:hint="default" w:ascii="楷体_GB2312" w:hAnsi="楷体_GB2312" w:eastAsia="楷体_GB2312" w:cs="楷体_GB2312"/>
          <w:b/>
          <w:bCs/>
          <w:color w:val="auto"/>
          <w:lang w:val="en-US" w:eastAsia="zh-CN"/>
        </w:rPr>
      </w:pPr>
      <w:r>
        <w:rPr>
          <w:rFonts w:hint="eastAsia" w:ascii="楷体_GB2312" w:hAnsi="楷体_GB2312" w:eastAsia="楷体_GB2312" w:cs="楷体_GB2312"/>
          <w:b/>
          <w:bCs/>
          <w:color w:val="000000"/>
          <w:kern w:val="2"/>
          <w:sz w:val="32"/>
          <w:szCs w:val="32"/>
          <w:highlight w:val="none"/>
          <w:lang w:val="en-US" w:eastAsia="zh-CN" w:bidi="ar-SA"/>
        </w:rPr>
        <w:t>2、积极推进群众身边不正之风和腐败问题集中整治工作</w:t>
      </w:r>
      <w:r>
        <w:rPr>
          <w:rFonts w:hint="eastAsia" w:ascii="仿宋_GB2312" w:hAnsi="仿宋_GB2312" w:eastAsia="仿宋_GB2312" w:cs="仿宋_GB2312"/>
          <w:b w:val="0"/>
          <w:bCs w:val="0"/>
          <w:color w:val="000000"/>
          <w:kern w:val="2"/>
          <w:sz w:val="32"/>
          <w:szCs w:val="32"/>
          <w:highlight w:val="none"/>
          <w:lang w:val="en-US" w:eastAsia="zh-CN" w:bidi="ar-SA"/>
        </w:rPr>
        <w:t>。</w:t>
      </w:r>
      <w:r>
        <w:rPr>
          <w:rFonts w:hint="default" w:ascii="仿宋_GB2312" w:hAnsi="仿宋_GB2312" w:eastAsia="仿宋_GB2312" w:cs="仿宋_GB2312"/>
          <w:b w:val="0"/>
          <w:bCs w:val="0"/>
          <w:color w:val="000000"/>
          <w:kern w:val="2"/>
          <w:sz w:val="32"/>
          <w:szCs w:val="32"/>
          <w:highlight w:val="none"/>
          <w:lang w:val="en-US" w:eastAsia="zh-CN" w:bidi="ar-SA"/>
        </w:rPr>
        <w:t>我</w:t>
      </w:r>
      <w:r>
        <w:rPr>
          <w:rFonts w:hint="eastAsia" w:ascii="仿宋_GB2312" w:hAnsi="仿宋_GB2312" w:eastAsia="仿宋_GB2312" w:cs="仿宋_GB2312"/>
          <w:b w:val="0"/>
          <w:bCs w:val="0"/>
          <w:color w:val="000000"/>
          <w:kern w:val="2"/>
          <w:sz w:val="32"/>
          <w:szCs w:val="32"/>
          <w:highlight w:val="none"/>
          <w:lang w:val="en-US" w:eastAsia="zh-CN" w:bidi="ar-SA"/>
        </w:rPr>
        <w:t>分局</w:t>
      </w:r>
      <w:r>
        <w:rPr>
          <w:rFonts w:hint="default" w:ascii="仿宋_GB2312" w:hAnsi="仿宋_GB2312" w:eastAsia="仿宋_GB2312" w:cs="仿宋_GB2312"/>
          <w:b w:val="0"/>
          <w:bCs w:val="0"/>
          <w:color w:val="000000"/>
          <w:kern w:val="2"/>
          <w:sz w:val="32"/>
          <w:szCs w:val="32"/>
          <w:highlight w:val="none"/>
          <w:lang w:val="en-US" w:eastAsia="zh-CN" w:bidi="ar-SA"/>
        </w:rPr>
        <w:t>紧紧围绕生态环境领域的</w:t>
      </w:r>
      <w:r>
        <w:rPr>
          <w:rFonts w:hint="eastAsia" w:ascii="仿宋_GB2312" w:hAnsi="仿宋_GB2312" w:eastAsia="仿宋_GB2312" w:cs="仿宋_GB2312"/>
          <w:b w:val="0"/>
          <w:bCs w:val="0"/>
          <w:color w:val="000000"/>
          <w:kern w:val="2"/>
          <w:sz w:val="32"/>
          <w:szCs w:val="32"/>
          <w:highlight w:val="none"/>
          <w:lang w:val="en-US" w:eastAsia="zh-CN" w:bidi="ar-SA"/>
        </w:rPr>
        <w:t>五</w:t>
      </w:r>
      <w:r>
        <w:rPr>
          <w:rFonts w:hint="default" w:ascii="仿宋_GB2312" w:hAnsi="仿宋_GB2312" w:eastAsia="仿宋_GB2312" w:cs="仿宋_GB2312"/>
          <w:b w:val="0"/>
          <w:bCs w:val="0"/>
          <w:color w:val="000000"/>
          <w:kern w:val="2"/>
          <w:sz w:val="32"/>
          <w:szCs w:val="32"/>
          <w:highlight w:val="none"/>
          <w:lang w:val="en-US" w:eastAsia="zh-CN" w:bidi="ar-SA"/>
        </w:rPr>
        <w:t>大重点内容，</w:t>
      </w:r>
      <w:r>
        <w:rPr>
          <w:rFonts w:hint="eastAsia" w:ascii="仿宋_GB2312" w:hAnsi="仿宋_GB2312" w:eastAsia="仿宋_GB2312" w:cs="仿宋_GB2312"/>
          <w:b w:val="0"/>
          <w:bCs w:val="0"/>
          <w:color w:val="000000"/>
          <w:kern w:val="2"/>
          <w:sz w:val="32"/>
          <w:szCs w:val="32"/>
          <w:highlight w:val="none"/>
          <w:lang w:val="en-US" w:eastAsia="zh-CN" w:bidi="ar-SA"/>
        </w:rPr>
        <w:t>扛牢“</w:t>
      </w:r>
      <w:r>
        <w:rPr>
          <w:rFonts w:hint="default" w:ascii="仿宋_GB2312" w:hAnsi="仿宋_GB2312" w:eastAsia="仿宋_GB2312" w:cs="仿宋_GB2312"/>
          <w:b w:val="0"/>
          <w:bCs w:val="0"/>
          <w:color w:val="000000"/>
          <w:kern w:val="2"/>
          <w:sz w:val="32"/>
          <w:szCs w:val="32"/>
          <w:highlight w:val="none"/>
          <w:lang w:val="en-US" w:eastAsia="zh-CN" w:bidi="ar-SA"/>
        </w:rPr>
        <w:t>守护</w:t>
      </w:r>
      <w:r>
        <w:rPr>
          <w:rFonts w:hint="eastAsia" w:ascii="仿宋_GB2312" w:hAnsi="仿宋_GB2312" w:eastAsia="仿宋_GB2312" w:cs="仿宋_GB2312"/>
          <w:b w:val="0"/>
          <w:bCs w:val="0"/>
          <w:color w:val="000000"/>
          <w:kern w:val="2"/>
          <w:sz w:val="32"/>
          <w:szCs w:val="32"/>
          <w:highlight w:val="none"/>
          <w:lang w:val="en-US" w:eastAsia="zh-CN" w:bidi="ar-SA"/>
        </w:rPr>
        <w:t>好</w:t>
      </w:r>
      <w:r>
        <w:rPr>
          <w:rFonts w:hint="default" w:ascii="仿宋_GB2312" w:hAnsi="仿宋_GB2312" w:eastAsia="仿宋_GB2312" w:cs="仿宋_GB2312"/>
          <w:b w:val="0"/>
          <w:bCs w:val="0"/>
          <w:color w:val="000000"/>
          <w:kern w:val="2"/>
          <w:sz w:val="32"/>
          <w:szCs w:val="32"/>
          <w:highlight w:val="none"/>
          <w:lang w:val="en-US" w:eastAsia="zh-CN" w:bidi="ar-SA"/>
        </w:rPr>
        <w:t>一江碧水</w:t>
      </w:r>
      <w:r>
        <w:rPr>
          <w:rFonts w:hint="eastAsia" w:ascii="仿宋_GB2312" w:hAnsi="仿宋_GB2312" w:eastAsia="仿宋_GB2312" w:cs="仿宋_GB2312"/>
          <w:b w:val="0"/>
          <w:bCs w:val="0"/>
          <w:color w:val="000000"/>
          <w:kern w:val="2"/>
          <w:sz w:val="32"/>
          <w:szCs w:val="32"/>
          <w:highlight w:val="none"/>
          <w:lang w:val="en-US" w:eastAsia="zh-CN" w:bidi="ar-SA"/>
        </w:rPr>
        <w:t>”</w:t>
      </w:r>
      <w:r>
        <w:rPr>
          <w:rFonts w:hint="default" w:ascii="仿宋_GB2312" w:hAnsi="仿宋_GB2312" w:eastAsia="仿宋_GB2312" w:cs="仿宋_GB2312"/>
          <w:b w:val="0"/>
          <w:bCs w:val="0"/>
          <w:color w:val="000000"/>
          <w:kern w:val="2"/>
          <w:sz w:val="32"/>
          <w:szCs w:val="32"/>
          <w:highlight w:val="none"/>
          <w:lang w:val="en-US" w:eastAsia="zh-CN" w:bidi="ar-SA"/>
        </w:rPr>
        <w:t>政治责任</w:t>
      </w:r>
      <w:r>
        <w:rPr>
          <w:rFonts w:hint="eastAsia" w:ascii="仿宋_GB2312" w:hAnsi="仿宋_GB2312" w:eastAsia="仿宋_GB2312" w:cs="仿宋_GB2312"/>
          <w:b w:val="0"/>
          <w:bCs w:val="0"/>
          <w:color w:val="000000"/>
          <w:kern w:val="2"/>
          <w:sz w:val="32"/>
          <w:szCs w:val="32"/>
          <w:highlight w:val="none"/>
          <w:lang w:val="en-US" w:eastAsia="zh-CN" w:bidi="ar-SA"/>
        </w:rPr>
        <w:t>、将群腐整治工作与中央、省级环保督察和对企业“三查”行动、“双随机”执法结合起来，</w:t>
      </w:r>
      <w:r>
        <w:rPr>
          <w:rFonts w:hint="default" w:ascii="仿宋_GB2312" w:hAnsi="仿宋_GB2312" w:eastAsia="仿宋_GB2312" w:cs="仿宋_GB2312"/>
          <w:b w:val="0"/>
          <w:bCs w:val="0"/>
          <w:color w:val="000000"/>
          <w:kern w:val="2"/>
          <w:sz w:val="32"/>
          <w:szCs w:val="32"/>
          <w:highlight w:val="none"/>
          <w:lang w:val="en-US" w:eastAsia="zh-CN" w:bidi="ar-SA"/>
        </w:rPr>
        <w:t>强化监督整改，依法推进整改，确保群众满意</w:t>
      </w:r>
      <w:r>
        <w:rPr>
          <w:rFonts w:hint="eastAsia" w:ascii="仿宋_GB2312" w:hAnsi="仿宋_GB2312" w:eastAsia="仿宋_GB2312" w:cs="仿宋_GB2312"/>
          <w:b w:val="0"/>
          <w:bCs w:val="0"/>
          <w:color w:val="000000"/>
          <w:kern w:val="2"/>
          <w:sz w:val="32"/>
          <w:szCs w:val="32"/>
          <w:highlight w:val="none"/>
          <w:lang w:val="en-US" w:eastAsia="zh-CN" w:bidi="ar-SA"/>
        </w:rPr>
        <w:t>；我局按相关文件</w:t>
      </w:r>
      <w:r>
        <w:rPr>
          <w:rFonts w:hint="default" w:ascii="仿宋_GB2312" w:hAnsi="仿宋_GB2312" w:eastAsia="仿宋_GB2312" w:cs="仿宋_GB2312"/>
          <w:b w:val="0"/>
          <w:bCs w:val="0"/>
          <w:color w:val="000000"/>
          <w:kern w:val="2"/>
          <w:sz w:val="32"/>
          <w:szCs w:val="32"/>
          <w:highlight w:val="none"/>
          <w:lang w:val="en-US" w:eastAsia="zh-CN" w:bidi="ar-SA"/>
        </w:rPr>
        <w:t>制定了行为规范守则</w:t>
      </w:r>
      <w:r>
        <w:rPr>
          <w:rFonts w:hint="eastAsia" w:ascii="仿宋_GB2312" w:hAnsi="仿宋_GB2312" w:eastAsia="仿宋_GB2312" w:cs="仿宋_GB2312"/>
          <w:b w:val="0"/>
          <w:bCs w:val="0"/>
          <w:color w:val="000000"/>
          <w:kern w:val="2"/>
          <w:sz w:val="32"/>
          <w:szCs w:val="32"/>
          <w:highlight w:val="none"/>
          <w:lang w:val="en-US" w:eastAsia="zh-CN" w:bidi="ar-SA"/>
        </w:rPr>
        <w:t>，</w:t>
      </w:r>
      <w:r>
        <w:rPr>
          <w:rFonts w:hint="default" w:ascii="仿宋_GB2312" w:hAnsi="仿宋_GB2312" w:eastAsia="仿宋_GB2312" w:cs="仿宋_GB2312"/>
          <w:b w:val="0"/>
          <w:bCs w:val="0"/>
          <w:color w:val="000000"/>
          <w:kern w:val="2"/>
          <w:sz w:val="32"/>
          <w:szCs w:val="32"/>
          <w:highlight w:val="none"/>
          <w:lang w:val="en-US" w:eastAsia="zh-CN" w:bidi="ar-SA"/>
        </w:rPr>
        <w:t>规范环评流程，排查环评机构资质，有效杜绝了</w:t>
      </w:r>
      <w:r>
        <w:rPr>
          <w:rFonts w:hint="eastAsia" w:ascii="仿宋_GB2312" w:hAnsi="仿宋_GB2312" w:eastAsia="仿宋_GB2312" w:cs="仿宋_GB2312"/>
          <w:b w:val="0"/>
          <w:bCs w:val="0"/>
          <w:color w:val="000000"/>
          <w:kern w:val="2"/>
          <w:sz w:val="32"/>
          <w:szCs w:val="32"/>
          <w:highlight w:val="none"/>
          <w:lang w:val="en-US" w:eastAsia="zh-CN" w:bidi="ar-SA"/>
        </w:rPr>
        <w:t>环评</w:t>
      </w:r>
      <w:r>
        <w:rPr>
          <w:rFonts w:hint="default" w:ascii="仿宋_GB2312" w:hAnsi="仿宋_GB2312" w:eastAsia="仿宋_GB2312" w:cs="仿宋_GB2312"/>
          <w:b w:val="0"/>
          <w:bCs w:val="0"/>
          <w:color w:val="000000"/>
          <w:kern w:val="2"/>
          <w:sz w:val="32"/>
          <w:szCs w:val="32"/>
          <w:highlight w:val="none"/>
          <w:lang w:val="en-US" w:eastAsia="zh-CN" w:bidi="ar-SA"/>
        </w:rPr>
        <w:t>不当干预</w:t>
      </w:r>
      <w:r>
        <w:rPr>
          <w:rFonts w:hint="eastAsia" w:ascii="仿宋_GB2312" w:hAnsi="仿宋_GB2312" w:eastAsia="仿宋_GB2312" w:cs="仿宋_GB2312"/>
          <w:b w:val="0"/>
          <w:bCs w:val="0"/>
          <w:color w:val="000000"/>
          <w:kern w:val="2"/>
          <w:sz w:val="32"/>
          <w:szCs w:val="32"/>
          <w:highlight w:val="none"/>
          <w:lang w:val="en-US" w:eastAsia="zh-CN" w:bidi="ar-SA"/>
        </w:rPr>
        <w:t>；通过</w:t>
      </w:r>
      <w:r>
        <w:rPr>
          <w:rFonts w:hint="default" w:ascii="仿宋_GB2312" w:hAnsi="仿宋_GB2312" w:eastAsia="仿宋_GB2312" w:cs="仿宋_GB2312"/>
          <w:b w:val="0"/>
          <w:bCs w:val="0"/>
          <w:color w:val="000000"/>
          <w:kern w:val="2"/>
          <w:sz w:val="32"/>
          <w:szCs w:val="32"/>
          <w:highlight w:val="none"/>
          <w:lang w:val="en-US" w:eastAsia="zh-CN" w:bidi="ar-SA"/>
        </w:rPr>
        <w:t>自觉排查廉政风险，识别出39个风险点，全体工作人员签署廉政承诺书，</w:t>
      </w:r>
      <w:r>
        <w:rPr>
          <w:rFonts w:hint="eastAsia" w:ascii="仿宋_GB2312" w:hAnsi="仿宋_GB2312" w:eastAsia="仿宋_GB2312" w:cs="仿宋_GB2312"/>
          <w:b w:val="0"/>
          <w:bCs w:val="0"/>
          <w:color w:val="000000"/>
          <w:kern w:val="2"/>
          <w:sz w:val="32"/>
          <w:szCs w:val="32"/>
          <w:highlight w:val="none"/>
          <w:lang w:val="en-US" w:eastAsia="zh-CN" w:bidi="ar-SA"/>
        </w:rPr>
        <w:t>畅通信访通道，</w:t>
      </w:r>
      <w:r>
        <w:rPr>
          <w:rFonts w:hint="default" w:ascii="仿宋_GB2312" w:hAnsi="仿宋_GB2312" w:eastAsia="仿宋_GB2312" w:cs="仿宋_GB2312"/>
          <w:b w:val="0"/>
          <w:bCs w:val="0"/>
          <w:color w:val="000000"/>
          <w:kern w:val="2"/>
          <w:sz w:val="32"/>
          <w:szCs w:val="32"/>
          <w:highlight w:val="none"/>
          <w:lang w:val="en-US" w:eastAsia="zh-CN" w:bidi="ar-SA"/>
        </w:rPr>
        <w:t>主动接受公众监督，提升了</w:t>
      </w:r>
      <w:r>
        <w:rPr>
          <w:rFonts w:hint="eastAsia" w:ascii="仿宋_GB2312" w:hAnsi="仿宋_GB2312" w:eastAsia="仿宋_GB2312" w:cs="仿宋_GB2312"/>
          <w:b w:val="0"/>
          <w:bCs w:val="0"/>
          <w:color w:val="000000"/>
          <w:kern w:val="2"/>
          <w:sz w:val="32"/>
          <w:szCs w:val="32"/>
          <w:highlight w:val="none"/>
          <w:lang w:val="en-US" w:eastAsia="zh-CN" w:bidi="ar-SA"/>
        </w:rPr>
        <w:t>环保</w:t>
      </w:r>
      <w:r>
        <w:rPr>
          <w:rFonts w:hint="default" w:ascii="仿宋_GB2312" w:hAnsi="仿宋_GB2312" w:eastAsia="仿宋_GB2312" w:cs="仿宋_GB2312"/>
          <w:b w:val="0"/>
          <w:bCs w:val="0"/>
          <w:color w:val="000000"/>
          <w:kern w:val="2"/>
          <w:sz w:val="32"/>
          <w:szCs w:val="32"/>
          <w:highlight w:val="none"/>
          <w:lang w:val="en-US" w:eastAsia="zh-CN" w:bidi="ar-SA"/>
        </w:rPr>
        <w:t>工作的透明度和廉洁性</w:t>
      </w:r>
      <w:r>
        <w:rPr>
          <w:rFonts w:hint="eastAsia" w:ascii="仿宋_GB2312" w:hAnsi="仿宋_GB2312" w:eastAsia="仿宋_GB2312" w:cs="仿宋_GB2312"/>
          <w:b w:val="0"/>
          <w:bCs w:val="0"/>
          <w:color w:val="000000"/>
          <w:kern w:val="2"/>
          <w:sz w:val="32"/>
          <w:szCs w:val="32"/>
          <w:highlight w:val="none"/>
          <w:lang w:val="en-US" w:eastAsia="zh-CN" w:bidi="ar-SA"/>
        </w:rPr>
        <w:t>；在十五件民生实事暨纠治打着环保幌子搞“一刀切”问题整治上，我局高度重视，在执法工作中对于初次违法且危害后果轻微并及时改正的情况，不予行政处罚</w:t>
      </w:r>
      <w:r>
        <w:rPr>
          <w:rFonts w:hint="default" w:ascii="仿宋_GB2312" w:hAnsi="仿宋_GB2312" w:eastAsia="仿宋_GB2312" w:cs="仿宋_GB2312"/>
          <w:b w:val="0"/>
          <w:bCs w:val="0"/>
          <w:color w:val="000000"/>
          <w:kern w:val="2"/>
          <w:sz w:val="32"/>
          <w:szCs w:val="32"/>
          <w:highlight w:val="none"/>
          <w:lang w:eastAsia="zh-CN" w:bidi="ar-SA"/>
        </w:rPr>
        <w:t>。</w:t>
      </w:r>
      <w:r>
        <w:rPr>
          <w:rFonts w:hint="eastAsia" w:ascii="仿宋_GB2312" w:hAnsi="仿宋_GB2312" w:eastAsia="仿宋_GB2312" w:cs="仿宋_GB2312"/>
          <w:b w:val="0"/>
          <w:bCs w:val="0"/>
          <w:color w:val="000000"/>
          <w:kern w:val="2"/>
          <w:sz w:val="32"/>
          <w:szCs w:val="32"/>
          <w:highlight w:val="none"/>
          <w:lang w:val="en-US" w:eastAsia="zh-CN" w:bidi="ar-SA"/>
        </w:rPr>
        <w:t>对企业下达风险告知书，</w:t>
      </w:r>
      <w:r>
        <w:rPr>
          <w:rFonts w:hint="default" w:ascii="仿宋_GB2312" w:hAnsi="仿宋_GB2312" w:eastAsia="仿宋_GB2312" w:cs="仿宋_GB2312"/>
          <w:b w:val="0"/>
          <w:bCs w:val="0"/>
          <w:color w:val="000000"/>
          <w:kern w:val="2"/>
          <w:sz w:val="32"/>
          <w:szCs w:val="32"/>
          <w:highlight w:val="none"/>
          <w:lang w:eastAsia="zh-CN" w:bidi="ar-SA"/>
        </w:rPr>
        <w:t>督促在规定时间整改到位，</w:t>
      </w:r>
      <w:r>
        <w:rPr>
          <w:rFonts w:hint="eastAsia" w:ascii="仿宋_GB2312" w:hAnsi="仿宋_GB2312" w:eastAsia="仿宋_GB2312" w:cs="仿宋_GB2312"/>
          <w:b w:val="0"/>
          <w:bCs w:val="0"/>
          <w:color w:val="000000"/>
          <w:kern w:val="2"/>
          <w:sz w:val="32"/>
          <w:szCs w:val="32"/>
          <w:highlight w:val="none"/>
          <w:lang w:val="en-US" w:eastAsia="zh-CN" w:bidi="ar-SA"/>
        </w:rPr>
        <w:t>有效避免了执法、管理一刀切问题。</w:t>
      </w:r>
    </w:p>
    <w:p w14:paraId="2D771200">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b w:val="0"/>
          <w:bCs w:val="0"/>
          <w:color w:val="000000"/>
          <w:kern w:val="2"/>
          <w:sz w:val="32"/>
          <w:szCs w:val="32"/>
          <w:lang w:val="en-US" w:eastAsia="zh-CN" w:bidi="ar-SA"/>
        </w:rPr>
      </w:pPr>
      <w:r>
        <w:rPr>
          <w:rFonts w:hint="eastAsia" w:ascii="楷体_GB2312" w:hAnsi="楷体_GB2312" w:eastAsia="楷体_GB2312" w:cs="楷体_GB2312"/>
          <w:b/>
          <w:bCs/>
          <w:color w:val="000000"/>
          <w:kern w:val="2"/>
          <w:sz w:val="32"/>
          <w:szCs w:val="32"/>
          <w:lang w:val="en-US" w:eastAsia="zh-CN" w:bidi="ar-SA"/>
        </w:rPr>
        <w:t>3、筑牢意识形态领域高地，推进各项工作协调推进。</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分局旗帜鲜明讲政治，贯彻落实习近平新时代中国特色社会主义思想、党的二十届三中全会精神，</w:t>
      </w:r>
      <w:r>
        <w:rPr>
          <w:rFonts w:hint="eastAsia" w:ascii="仿宋_GB2312" w:hAnsi="仿宋_GB2312" w:eastAsia="仿宋_GB2312" w:cs="仿宋_GB2312"/>
          <w:sz w:val="32"/>
          <w:szCs w:val="32"/>
          <w:lang w:val="en-US" w:eastAsia="zh-CN"/>
        </w:rPr>
        <w:t>积极落实党的决策部署</w:t>
      </w:r>
      <w:r>
        <w:rPr>
          <w:rFonts w:hint="eastAsia" w:ascii="仿宋_GB2312" w:hAnsi="仿宋_GB2312" w:eastAsia="仿宋_GB2312" w:cs="仿宋_GB2312"/>
          <w:b w:val="0"/>
          <w:bCs w:val="0"/>
          <w:sz w:val="32"/>
          <w:szCs w:val="32"/>
          <w:lang w:val="en-US" w:eastAsia="zh-CN"/>
        </w:rPr>
        <w:t>；分局干部职工坚定拥护“两个确立”、坚决做到“两个维护”，增强“四个意识”、坚定“四个自信”，目前分局干部职工工作状态好，思想积极向上</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b/>
          <w:bCs/>
          <w:color w:val="000000"/>
          <w:kern w:val="2"/>
          <w:sz w:val="32"/>
          <w:szCs w:val="32"/>
          <w:lang w:val="en-US" w:eastAsia="zh-CN" w:bidi="ar-SA"/>
        </w:rPr>
        <w:t>二是</w:t>
      </w:r>
      <w:r>
        <w:rPr>
          <w:rFonts w:hint="eastAsia" w:ascii="仿宋_GB2312" w:hAnsi="仿宋_GB2312" w:eastAsia="仿宋_GB2312" w:cs="仿宋_GB2312"/>
          <w:b w:val="0"/>
          <w:bCs w:val="0"/>
          <w:color w:val="000000"/>
          <w:kern w:val="2"/>
          <w:sz w:val="32"/>
          <w:szCs w:val="32"/>
          <w:lang w:val="en-US" w:eastAsia="zh-CN" w:bidi="ar-SA"/>
        </w:rPr>
        <w:t>加强舆论引导，积极宣传生态文明建设成就，开展安全生产月和禁毒禁毒宣传教育等活动，提升干部职工安全生产和禁毒意识，全局没有发生安全生产事故和涉毒问题。</w:t>
      </w:r>
    </w:p>
    <w:p w14:paraId="24284EB0">
      <w:pPr>
        <w:pStyle w:val="12"/>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七、存在的问题及原因分析</w:t>
      </w:r>
    </w:p>
    <w:p w14:paraId="6E8145BC">
      <w:pPr>
        <w:keepNext w:val="0"/>
        <w:keepLines w:val="0"/>
        <w:pageBreakBefore w:val="0"/>
        <w:kinsoku/>
        <w:wordWrap/>
        <w:overflowPunct/>
        <w:topLinePunct w:val="0"/>
        <w:autoSpaceDE/>
        <w:autoSpaceDN/>
        <w:bidi w:val="0"/>
        <w:adjustRightInd/>
        <w:snapToGrid/>
        <w:spacing w:line="600" w:lineRule="exact"/>
        <w:ind w:firstLine="643" w:firstLineChars="200"/>
        <w:jc w:val="both"/>
        <w:rPr>
          <w:rFonts w:hint="eastAsia" w:ascii="黑体" w:hAnsi="黑体" w:eastAsia="黑体" w:cs="黑体"/>
          <w:b w:val="0"/>
          <w:bCs w:val="0"/>
          <w:color w:val="000000"/>
          <w:kern w:val="0"/>
          <w:sz w:val="32"/>
          <w:szCs w:val="32"/>
          <w:highlight w:val="none"/>
          <w:lang w:val="en-US" w:eastAsia="zh-CN"/>
        </w:rPr>
      </w:pPr>
      <w:r>
        <w:rPr>
          <w:rFonts w:hint="eastAsia" w:ascii="楷体_GB2312" w:hAnsi="楷体_GB2312" w:eastAsia="楷体_GB2312" w:cs="楷体_GB2312"/>
          <w:b/>
          <w:bCs/>
          <w:kern w:val="2"/>
          <w:sz w:val="32"/>
          <w:szCs w:val="32"/>
          <w:highlight w:val="none"/>
          <w:lang w:val="en-US" w:eastAsia="zh-CN" w:bidi="ar-SA"/>
        </w:rPr>
        <w:t>1、推动大环保格局形成仍有差距</w:t>
      </w:r>
      <w:r>
        <w:rPr>
          <w:rFonts w:hint="eastAsia" w:ascii="仿宋_GB2312" w:hAnsi="仿宋_GB2312" w:eastAsia="仿宋_GB2312" w:cs="仿宋_GB2312"/>
          <w:kern w:val="2"/>
          <w:sz w:val="32"/>
          <w:szCs w:val="32"/>
          <w:highlight w:val="none"/>
          <w:lang w:val="en-US" w:eastAsia="zh-CN" w:bidi="ar-SA"/>
        </w:rPr>
        <w:t>。虽然区党委、区管委高度重视生态环境保护工作，分局依托生环委积极协调工作推进，但分局人员编制不齐，区内个别单位仍存在环境意识不强，责任落实不到位，压力传导不够、导致生态环境保护工作存在“上热中温下冷”等情形。</w:t>
      </w:r>
      <w:r>
        <w:rPr>
          <w:rFonts w:hint="eastAsia" w:ascii="仿宋_GB2312" w:hAnsi="仿宋_GB2312" w:eastAsia="仿宋_GB2312" w:cs="仿宋_GB2312"/>
          <w:sz w:val="32"/>
          <w:szCs w:val="32"/>
          <w:highlight w:val="none"/>
        </w:rPr>
        <w:t>生环委牵头抓总的效果没有明显体现出来，</w:t>
      </w:r>
      <w:r>
        <w:rPr>
          <w:rFonts w:hint="eastAsia" w:ascii="仿宋_GB2312" w:hAnsi="仿宋_GB2312" w:eastAsia="仿宋_GB2312" w:cs="仿宋_GB2312"/>
          <w:kern w:val="2"/>
          <w:sz w:val="32"/>
          <w:szCs w:val="32"/>
          <w:highlight w:val="none"/>
          <w:lang w:val="en-US" w:eastAsia="zh-CN" w:bidi="ar-SA"/>
        </w:rPr>
        <w:t>一些部门和单位对本部门、本单位的生态环境保护职责仍不十分清楚，对本属地、本行业、本领域的生态环境问题底数不清、摸排不透、监管不严，出现问题后相互推诿、“踢皮球”，部门之间未形成齐抓共管、共同发力的大环保格局。</w:t>
      </w:r>
    </w:p>
    <w:p w14:paraId="4AC689B1">
      <w:pPr>
        <w:pStyle w:val="5"/>
        <w:keepNext w:val="0"/>
        <w:keepLines w:val="0"/>
        <w:pageBreakBefore w:val="0"/>
        <w:kinsoku/>
        <w:wordWrap/>
        <w:overflowPunct/>
        <w:topLinePunct w:val="0"/>
        <w:autoSpaceDE/>
        <w:autoSpaceDN/>
        <w:bidi w:val="0"/>
        <w:adjustRightInd/>
        <w:snapToGrid/>
        <w:spacing w:line="600" w:lineRule="exact"/>
        <w:ind w:left="0" w:leftChars="0" w:firstLine="643" w:firstLineChars="200"/>
        <w:jc w:val="both"/>
        <w:rPr>
          <w:rFonts w:hint="eastAsia" w:ascii="仿宋_GB2312" w:hAnsi="仿宋_GB2312" w:eastAsia="仿宋_GB2312" w:cs="仿宋_GB2312"/>
          <w:color w:val="131516"/>
          <w:sz w:val="32"/>
          <w:szCs w:val="32"/>
          <w:u w:val="single"/>
          <w:lang w:eastAsia="zh-CN"/>
        </w:rPr>
      </w:pPr>
      <w:r>
        <w:rPr>
          <w:rFonts w:hint="eastAsia" w:ascii="楷体_GB2312" w:hAnsi="楷体_GB2312" w:eastAsia="楷体_GB2312" w:cs="楷体_GB2312"/>
          <w:b/>
          <w:bCs/>
          <w:kern w:val="2"/>
          <w:sz w:val="32"/>
          <w:szCs w:val="32"/>
          <w:lang w:val="en-US" w:eastAsia="zh-CN" w:bidi="ar-SA"/>
        </w:rPr>
        <w:t>2、执法能力存在不足</w:t>
      </w:r>
      <w:r>
        <w:rPr>
          <w:rFonts w:hint="eastAsia" w:ascii="仿宋_GB2312" w:hAnsi="仿宋_GB2312" w:eastAsia="仿宋_GB2312" w:cs="仿宋_GB2312"/>
          <w:sz w:val="32"/>
          <w:szCs w:val="32"/>
        </w:rPr>
        <w:t>。因人员少事情杂，</w:t>
      </w:r>
      <w:r>
        <w:rPr>
          <w:rFonts w:hint="eastAsia" w:ascii="仿宋_GB2312" w:hAnsi="仿宋_GB2312" w:eastAsia="仿宋_GB2312" w:cs="仿宋_GB2312"/>
          <w:color w:val="131516"/>
          <w:sz w:val="32"/>
          <w:szCs w:val="32"/>
        </w:rPr>
        <w:t>执法人员对环境保护领域的新知识、新技术、新政策的学习和掌握不够，</w:t>
      </w:r>
      <w:r>
        <w:rPr>
          <w:rFonts w:hint="eastAsia" w:ascii="仿宋_GB2312" w:hAnsi="仿宋_GB2312" w:eastAsia="仿宋_GB2312" w:cs="仿宋_GB2312"/>
          <w:color w:val="131516"/>
          <w:sz w:val="32"/>
          <w:szCs w:val="32"/>
          <w:lang w:val="en-US" w:eastAsia="zh-CN"/>
        </w:rPr>
        <w:t>且</w:t>
      </w:r>
      <w:r>
        <w:rPr>
          <w:rFonts w:hint="eastAsia" w:ascii="仿宋_GB2312" w:hAnsi="仿宋_GB2312" w:eastAsia="仿宋_GB2312" w:cs="仿宋_GB2312"/>
          <w:color w:val="131516"/>
          <w:sz w:val="32"/>
          <w:szCs w:val="32"/>
        </w:rPr>
        <w:t>专业能力不够，办案水平</w:t>
      </w:r>
      <w:r>
        <w:rPr>
          <w:rFonts w:hint="eastAsia" w:ascii="仿宋_GB2312" w:hAnsi="仿宋_GB2312" w:eastAsia="仿宋_GB2312" w:cs="仿宋_GB2312"/>
          <w:color w:val="131516"/>
          <w:sz w:val="32"/>
          <w:szCs w:val="32"/>
          <w:lang w:val="en-US" w:eastAsia="zh-CN"/>
        </w:rPr>
        <w:t>有待进一步</w:t>
      </w:r>
      <w:r>
        <w:rPr>
          <w:rFonts w:hint="eastAsia" w:ascii="仿宋_GB2312" w:hAnsi="仿宋_GB2312" w:eastAsia="仿宋_GB2312" w:cs="仿宋_GB2312"/>
          <w:color w:val="131516"/>
          <w:sz w:val="32"/>
          <w:szCs w:val="32"/>
        </w:rPr>
        <w:t>提高</w:t>
      </w:r>
      <w:r>
        <w:rPr>
          <w:rFonts w:hint="eastAsia" w:ascii="仿宋_GB2312" w:hAnsi="仿宋_GB2312" w:eastAsia="仿宋_GB2312" w:cs="仿宋_GB2312"/>
          <w:color w:val="131516"/>
          <w:sz w:val="32"/>
          <w:szCs w:val="32"/>
          <w:lang w:eastAsia="zh-CN"/>
        </w:rPr>
        <w:t>，</w:t>
      </w:r>
      <w:r>
        <w:rPr>
          <w:rFonts w:hint="eastAsia" w:ascii="仿宋_GB2312" w:hAnsi="仿宋_GB2312" w:eastAsia="仿宋_GB2312" w:cs="仿宋_GB2312"/>
          <w:color w:val="131516"/>
          <w:sz w:val="32"/>
          <w:szCs w:val="32"/>
        </w:rPr>
        <w:t>对现代化监管手段的掌握能力存在明显短板</w:t>
      </w:r>
      <w:r>
        <w:rPr>
          <w:rFonts w:hint="eastAsia" w:ascii="仿宋_GB2312" w:hAnsi="仿宋_GB2312" w:eastAsia="仿宋_GB2312" w:cs="仿宋_GB2312"/>
          <w:color w:val="131516"/>
          <w:sz w:val="32"/>
          <w:szCs w:val="32"/>
          <w:lang w:eastAsia="zh-CN"/>
        </w:rPr>
        <w:t>，</w:t>
      </w:r>
      <w:r>
        <w:rPr>
          <w:rFonts w:hint="eastAsia" w:ascii="仿宋_GB2312" w:hAnsi="仿宋_GB2312" w:eastAsia="仿宋_GB2312" w:cs="仿宋_GB2312"/>
          <w:color w:val="131516"/>
          <w:sz w:val="32"/>
          <w:szCs w:val="32"/>
        </w:rPr>
        <w:t>难以适应快速变化的工作需求</w:t>
      </w:r>
      <w:r>
        <w:rPr>
          <w:rFonts w:hint="eastAsia" w:ascii="仿宋_GB2312" w:hAnsi="仿宋_GB2312" w:eastAsia="仿宋_GB2312" w:cs="仿宋_GB2312"/>
          <w:color w:val="131516"/>
          <w:sz w:val="32"/>
          <w:szCs w:val="32"/>
          <w:lang w:eastAsia="zh-CN"/>
        </w:rPr>
        <w:t>。</w:t>
      </w:r>
    </w:p>
    <w:p w14:paraId="7948053E">
      <w:pPr>
        <w:keepNext w:val="0"/>
        <w:keepLines w:val="0"/>
        <w:pageBreakBefore w:val="0"/>
        <w:kinsoku/>
        <w:wordWrap/>
        <w:overflowPunct/>
        <w:topLinePunct w:val="0"/>
        <w:autoSpaceDE/>
        <w:autoSpaceDN/>
        <w:bidi w:val="0"/>
        <w:adjustRightInd/>
        <w:snapToGrid/>
        <w:spacing w:line="600" w:lineRule="exact"/>
        <w:ind w:firstLine="643" w:firstLineChars="200"/>
        <w:jc w:val="both"/>
        <w:rPr>
          <w:rFonts w:hint="eastAsia" w:ascii="仿宋_GB2312" w:hAnsi="仿宋_GB2312" w:eastAsia="仿宋_GB2312" w:cs="仿宋_GB2312"/>
          <w:color w:val="131516"/>
          <w:sz w:val="32"/>
          <w:szCs w:val="32"/>
        </w:rPr>
      </w:pPr>
      <w:r>
        <w:rPr>
          <w:rFonts w:hint="eastAsia" w:ascii="楷体_GB2312" w:hAnsi="楷体_GB2312" w:eastAsia="楷体_GB2312" w:cs="楷体_GB2312"/>
          <w:b/>
          <w:bCs/>
          <w:kern w:val="2"/>
          <w:sz w:val="32"/>
          <w:szCs w:val="32"/>
          <w:lang w:val="en-US" w:eastAsia="zh-CN" w:bidi="ar-SA"/>
        </w:rPr>
        <w:t>3、环境监测资源不足</w:t>
      </w:r>
      <w:r>
        <w:rPr>
          <w:rFonts w:hint="eastAsia" w:ascii="仿宋_GB2312" w:hAnsi="仿宋_GB2312" w:eastAsia="仿宋_GB2312" w:cs="仿宋_GB2312"/>
          <w:color w:val="131516"/>
          <w:sz w:val="32"/>
          <w:szCs w:val="32"/>
          <w:lang w:val="en-US" w:eastAsia="zh-CN"/>
        </w:rPr>
        <w:t>。我</w:t>
      </w:r>
      <w:r>
        <w:rPr>
          <w:rFonts w:hint="eastAsia" w:ascii="仿宋_GB2312" w:hAnsi="仿宋_GB2312" w:eastAsia="仿宋_GB2312" w:cs="仿宋_GB2312"/>
          <w:color w:val="131516"/>
          <w:sz w:val="32"/>
          <w:szCs w:val="32"/>
        </w:rPr>
        <w:t>局未设监测站，同时辖区内无第三方检测机构，监测任务主要依托市监测</w:t>
      </w:r>
      <w:r>
        <w:rPr>
          <w:rFonts w:hint="eastAsia" w:ascii="仿宋_GB2312" w:hAnsi="仿宋_GB2312" w:eastAsia="仿宋_GB2312" w:cs="仿宋_GB2312"/>
          <w:color w:val="131516"/>
          <w:sz w:val="32"/>
          <w:szCs w:val="32"/>
          <w:lang w:val="en-US" w:eastAsia="zh-CN"/>
        </w:rPr>
        <w:t>中心</w:t>
      </w:r>
      <w:r>
        <w:rPr>
          <w:rFonts w:hint="eastAsia" w:ascii="仿宋_GB2312" w:hAnsi="仿宋_GB2312" w:eastAsia="仿宋_GB2312" w:cs="仿宋_GB2312"/>
          <w:color w:val="131516"/>
          <w:sz w:val="32"/>
          <w:szCs w:val="32"/>
        </w:rPr>
        <w:t>以及第三方检测机构，如遇突发性监测任务或开展执法监测，市监测</w:t>
      </w:r>
      <w:r>
        <w:rPr>
          <w:rFonts w:hint="eastAsia" w:ascii="仿宋_GB2312" w:hAnsi="仿宋_GB2312" w:eastAsia="仿宋_GB2312" w:cs="仿宋_GB2312"/>
          <w:color w:val="131516"/>
          <w:sz w:val="32"/>
          <w:szCs w:val="32"/>
          <w:lang w:val="en-US" w:eastAsia="zh-CN"/>
        </w:rPr>
        <w:t>中心</w:t>
      </w:r>
      <w:r>
        <w:rPr>
          <w:rFonts w:hint="eastAsia" w:ascii="仿宋_GB2312" w:hAnsi="仿宋_GB2312" w:eastAsia="仿宋_GB2312" w:cs="仿宋_GB2312"/>
          <w:color w:val="131516"/>
          <w:sz w:val="32"/>
          <w:szCs w:val="32"/>
        </w:rPr>
        <w:t>常常业务繁忙，而第三方检测机构监测质量参差不齐，导致我分局监测覆盖面有限，检测周期延长，影响了环境管理的及时性和有效性。从而难以</w:t>
      </w:r>
      <w:r>
        <w:rPr>
          <w:rFonts w:hint="eastAsia" w:ascii="仿宋_GB2312" w:hAnsi="仿宋_GB2312" w:eastAsia="仿宋_GB2312" w:cs="仿宋_GB2312"/>
          <w:color w:val="131516"/>
          <w:sz w:val="32"/>
          <w:szCs w:val="32"/>
          <w:lang w:val="en-US" w:eastAsia="zh-CN"/>
        </w:rPr>
        <w:t>及时有效</w:t>
      </w:r>
      <w:r>
        <w:rPr>
          <w:rFonts w:hint="eastAsia" w:ascii="仿宋_GB2312" w:hAnsi="仿宋_GB2312" w:eastAsia="仿宋_GB2312" w:cs="仿宋_GB2312"/>
          <w:color w:val="131516"/>
          <w:sz w:val="32"/>
          <w:szCs w:val="32"/>
        </w:rPr>
        <w:t>环境质量状况，及时发现环境风险</w:t>
      </w:r>
      <w:r>
        <w:rPr>
          <w:rFonts w:hint="eastAsia" w:ascii="仿宋_GB2312" w:hAnsi="仿宋_GB2312" w:eastAsia="仿宋_GB2312" w:cs="仿宋_GB2312"/>
          <w:color w:val="131516"/>
          <w:sz w:val="32"/>
          <w:szCs w:val="32"/>
          <w:lang w:eastAsia="zh-CN"/>
        </w:rPr>
        <w:t>、</w:t>
      </w:r>
      <w:r>
        <w:rPr>
          <w:rFonts w:hint="eastAsia" w:ascii="仿宋_GB2312" w:hAnsi="仿宋_GB2312" w:eastAsia="仿宋_GB2312" w:cs="仿宋_GB2312"/>
          <w:color w:val="131516"/>
          <w:sz w:val="32"/>
          <w:szCs w:val="32"/>
        </w:rPr>
        <w:t>有效打击环境违法。</w:t>
      </w:r>
    </w:p>
    <w:p w14:paraId="59C45252">
      <w:pPr>
        <w:keepNext w:val="0"/>
        <w:keepLines w:val="0"/>
        <w:pageBreakBefore w:val="0"/>
        <w:widowControl/>
        <w:numPr>
          <w:ilvl w:val="0"/>
          <w:numId w:val="3"/>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下一步改进措施</w:t>
      </w:r>
    </w:p>
    <w:p w14:paraId="1188546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baseline"/>
        <w:rPr>
          <w:rFonts w:hint="default"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1、提升思想认识，确保责任落实。</w:t>
      </w:r>
      <w:r>
        <w:rPr>
          <w:rFonts w:hint="default" w:ascii="仿宋_GB2312" w:hAnsi="仿宋_GB2312" w:eastAsia="仿宋_GB2312" w:cs="仿宋_GB2312"/>
          <w:kern w:val="2"/>
          <w:sz w:val="32"/>
          <w:szCs w:val="32"/>
          <w:lang w:val="en-US" w:eastAsia="zh-CN" w:bidi="ar-SA"/>
        </w:rPr>
        <w:t>全面贯彻“党政同责”、“一岗双责”、“三管三必须”原则，</w:t>
      </w:r>
      <w:r>
        <w:rPr>
          <w:rFonts w:hint="eastAsia" w:ascii="仿宋_GB2312" w:hAnsi="仿宋_GB2312" w:eastAsia="仿宋_GB2312" w:cs="仿宋_GB2312"/>
          <w:kern w:val="2"/>
          <w:sz w:val="32"/>
          <w:szCs w:val="32"/>
          <w:lang w:val="en-US" w:eastAsia="zh-CN" w:bidi="ar-SA"/>
        </w:rPr>
        <w:t>全面</w:t>
      </w:r>
      <w:r>
        <w:rPr>
          <w:rFonts w:hint="default" w:ascii="仿宋_GB2312" w:hAnsi="仿宋_GB2312" w:eastAsia="仿宋_GB2312" w:cs="仿宋_GB2312"/>
          <w:kern w:val="2"/>
          <w:sz w:val="32"/>
          <w:szCs w:val="32"/>
          <w:lang w:val="en-US" w:eastAsia="zh-CN" w:bidi="ar-SA"/>
        </w:rPr>
        <w:t>提高</w:t>
      </w:r>
      <w:r>
        <w:rPr>
          <w:rFonts w:hint="eastAsia" w:ascii="仿宋_GB2312" w:hAnsi="仿宋_GB2312" w:eastAsia="仿宋_GB2312" w:cs="仿宋_GB2312"/>
          <w:kern w:val="2"/>
          <w:sz w:val="32"/>
          <w:szCs w:val="32"/>
          <w:lang w:val="en-US" w:eastAsia="zh-CN" w:bidi="ar-SA"/>
        </w:rPr>
        <w:t>分局</w:t>
      </w:r>
      <w:r>
        <w:rPr>
          <w:rFonts w:hint="default" w:ascii="仿宋_GB2312" w:hAnsi="仿宋_GB2312" w:eastAsia="仿宋_GB2312" w:cs="仿宋_GB2312"/>
          <w:kern w:val="2"/>
          <w:sz w:val="32"/>
          <w:szCs w:val="32"/>
          <w:lang w:val="en-US" w:eastAsia="zh-CN" w:bidi="ar-SA"/>
        </w:rPr>
        <w:t>干部</w:t>
      </w:r>
      <w:r>
        <w:rPr>
          <w:rFonts w:hint="eastAsia" w:ascii="仿宋_GB2312" w:hAnsi="仿宋_GB2312" w:eastAsia="仿宋_GB2312" w:cs="仿宋_GB2312"/>
          <w:kern w:val="2"/>
          <w:sz w:val="32"/>
          <w:szCs w:val="32"/>
          <w:lang w:val="en-US" w:eastAsia="zh-CN" w:bidi="ar-SA"/>
        </w:rPr>
        <w:t>职工</w:t>
      </w:r>
      <w:r>
        <w:rPr>
          <w:rFonts w:hint="default" w:ascii="仿宋_GB2312" w:hAnsi="仿宋_GB2312" w:eastAsia="仿宋_GB2312" w:cs="仿宋_GB2312"/>
          <w:kern w:val="2"/>
          <w:sz w:val="32"/>
          <w:szCs w:val="32"/>
          <w:lang w:val="en-US" w:eastAsia="zh-CN" w:bidi="ar-SA"/>
        </w:rPr>
        <w:t>对生态环境保护重要性的认识。推动各部门协同发力，构建大环保工作格局</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确保生态环境保护责任到人、措施到位。</w:t>
      </w:r>
    </w:p>
    <w:p w14:paraId="7A905AA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baseline"/>
        <w:rPr>
          <w:rFonts w:hint="default"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2、持续改善环境质量，确保任务完成</w:t>
      </w:r>
      <w:r>
        <w:rPr>
          <w:rFonts w:hint="default" w:ascii="仿宋_GB2312" w:hAnsi="仿宋_GB2312" w:eastAsia="仿宋_GB2312" w:cs="仿宋_GB2312"/>
          <w:b/>
          <w:bCs/>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深入推进污染防治攻坚战，实施“夏季攻势”等专项行动，加密水质监测，强化农业面源污染、养殖尾水和畜禽养殖污染治理，确保国省控断面稳定达到二类水标准</w:t>
      </w:r>
      <w:r>
        <w:rPr>
          <w:rFonts w:hint="eastAsia" w:ascii="仿宋_GB2312" w:hAnsi="仿宋_GB2312" w:eastAsia="仿宋_GB2312" w:cs="仿宋_GB2312"/>
          <w:kern w:val="2"/>
          <w:sz w:val="32"/>
          <w:szCs w:val="32"/>
          <w:lang w:val="en-US" w:eastAsia="zh-CN" w:bidi="ar-SA"/>
        </w:rPr>
        <w:t>，及时开展“回头看”工作，确保治理到实处。</w:t>
      </w:r>
    </w:p>
    <w:p w14:paraId="0EA035D2">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3</w:t>
      </w:r>
      <w:r>
        <w:rPr>
          <w:rFonts w:hint="default" w:ascii="楷体_GB2312" w:hAnsi="楷体_GB2312" w:eastAsia="楷体_GB2312" w:cs="楷体_GB2312"/>
          <w:b/>
          <w:bCs/>
          <w:kern w:val="2"/>
          <w:sz w:val="32"/>
          <w:szCs w:val="32"/>
          <w:lang w:val="en-US" w:eastAsia="zh-CN" w:bidi="ar-SA"/>
        </w:rPr>
        <w:t>、加强环境执法监管，确保执法效能。</w:t>
      </w:r>
      <w:r>
        <w:rPr>
          <w:rFonts w:hint="default" w:ascii="仿宋_GB2312" w:hAnsi="仿宋_GB2312" w:eastAsia="仿宋_GB2312" w:cs="仿宋_GB2312"/>
          <w:kern w:val="2"/>
          <w:sz w:val="32"/>
          <w:szCs w:val="32"/>
          <w:lang w:val="en-US" w:eastAsia="zh-CN" w:bidi="ar-SA"/>
        </w:rPr>
        <w:t>严格执行“双随机一公开”制度，开展“利剑行动”、“零点行动”等专项执法行动，保持高压态势，严厉打击非法排污行为，不断提升生态环境执法效能。</w:t>
      </w:r>
      <w:r>
        <w:rPr>
          <w:rFonts w:hint="eastAsia" w:ascii="仿宋_GB2312" w:hAnsi="仿宋_GB2312" w:eastAsia="仿宋_GB2312" w:cs="仿宋_GB2312"/>
          <w:sz w:val="32"/>
          <w:szCs w:val="32"/>
          <w:highlight w:val="none"/>
          <w:lang w:val="en-US" w:eastAsia="zh-CN"/>
        </w:rPr>
        <w:t>对照《大气污染防治法》、《水污染防治法》、《固体废物污染环境防治法》等法律</w:t>
      </w:r>
      <w:r>
        <w:rPr>
          <w:rFonts w:hint="eastAsia" w:ascii="仿宋_GB2312" w:hAnsi="仿宋_GB2312" w:eastAsia="仿宋_GB2312" w:cs="仿宋_GB2312"/>
          <w:sz w:val="32"/>
          <w:szCs w:val="32"/>
          <w:lang w:val="en-US" w:eastAsia="zh-CN"/>
        </w:rPr>
        <w:t>开展污染防治设施建设运行情况执法检查，严查超标排放，尤其是设施不正常运行或停运设施偷排偷放等严重违法行为。</w:t>
      </w:r>
    </w:p>
    <w:p w14:paraId="6F2CC67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baseline"/>
        <w:rPr>
          <w:rFonts w:hint="default"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4</w:t>
      </w:r>
      <w:r>
        <w:rPr>
          <w:rFonts w:hint="default" w:ascii="楷体_GB2312" w:hAnsi="楷体_GB2312" w:eastAsia="楷体_GB2312" w:cs="楷体_GB2312"/>
          <w:b/>
          <w:bCs/>
          <w:kern w:val="2"/>
          <w:sz w:val="32"/>
          <w:szCs w:val="32"/>
          <w:lang w:val="en-US" w:eastAsia="zh-CN" w:bidi="ar-SA"/>
        </w:rPr>
        <w:t>、优化环境政策传导，确保政策落地。</w:t>
      </w:r>
      <w:r>
        <w:rPr>
          <w:rFonts w:hint="default" w:ascii="仿宋_GB2312" w:hAnsi="仿宋_GB2312" w:eastAsia="仿宋_GB2312" w:cs="仿宋_GB2312"/>
          <w:kern w:val="2"/>
          <w:sz w:val="32"/>
          <w:szCs w:val="32"/>
          <w:lang w:val="en-US" w:eastAsia="zh-CN" w:bidi="ar-SA"/>
        </w:rPr>
        <w:t>加快政策传</w:t>
      </w:r>
      <w:r>
        <w:rPr>
          <w:rFonts w:hint="eastAsia" w:ascii="仿宋_GB2312" w:hAnsi="仿宋_GB2312" w:eastAsia="仿宋_GB2312" w:cs="仿宋_GB2312"/>
          <w:kern w:val="2"/>
          <w:sz w:val="32"/>
          <w:szCs w:val="32"/>
          <w:lang w:val="en-US" w:eastAsia="zh-CN" w:bidi="ar-SA"/>
        </w:rPr>
        <w:t>导</w:t>
      </w:r>
      <w:r>
        <w:rPr>
          <w:rFonts w:hint="default" w:ascii="仿宋_GB2312" w:hAnsi="仿宋_GB2312" w:eastAsia="仿宋_GB2312" w:cs="仿宋_GB2312"/>
          <w:kern w:val="2"/>
          <w:sz w:val="32"/>
          <w:szCs w:val="32"/>
          <w:lang w:val="en-US" w:eastAsia="zh-CN" w:bidi="ar-SA"/>
        </w:rPr>
        <w:t>速度，明确责任，构建上下联动</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横向协同的工作机制，及时解决政策执行中的问题，确保</w:t>
      </w:r>
      <w:r>
        <w:rPr>
          <w:rFonts w:hint="eastAsia" w:ascii="仿宋_GB2312" w:hAnsi="仿宋_GB2312" w:eastAsia="仿宋_GB2312" w:cs="仿宋_GB2312"/>
          <w:kern w:val="2"/>
          <w:sz w:val="32"/>
          <w:szCs w:val="32"/>
          <w:lang w:val="en-US" w:eastAsia="zh-CN" w:bidi="ar-SA"/>
        </w:rPr>
        <w:t>生态</w:t>
      </w:r>
      <w:r>
        <w:rPr>
          <w:rFonts w:hint="default" w:ascii="仿宋_GB2312" w:hAnsi="仿宋_GB2312" w:eastAsia="仿宋_GB2312" w:cs="仿宋_GB2312"/>
          <w:kern w:val="2"/>
          <w:sz w:val="32"/>
          <w:szCs w:val="32"/>
          <w:lang w:val="en-US" w:eastAsia="zh-CN" w:bidi="ar-SA"/>
        </w:rPr>
        <w:t>环境政策在全区落地生根</w:t>
      </w:r>
      <w:r>
        <w:rPr>
          <w:rFonts w:hint="eastAsia" w:ascii="仿宋_GB2312" w:hAnsi="仿宋_GB2312" w:eastAsia="仿宋_GB2312" w:cs="仿宋_GB2312"/>
          <w:kern w:val="2"/>
          <w:sz w:val="32"/>
          <w:szCs w:val="32"/>
          <w:lang w:val="en-US" w:eastAsia="zh-CN" w:bidi="ar-SA"/>
        </w:rPr>
        <w:t>，全面优化区内生态环境营商环境。</w:t>
      </w:r>
    </w:p>
    <w:p w14:paraId="5FA0BCB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baseline"/>
        <w:rPr>
          <w:rFonts w:hint="default"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5</w:t>
      </w:r>
      <w:r>
        <w:rPr>
          <w:rFonts w:hint="default" w:ascii="楷体_GB2312" w:hAnsi="楷体_GB2312" w:eastAsia="楷体_GB2312" w:cs="楷体_GB2312"/>
          <w:b/>
          <w:bCs/>
          <w:kern w:val="2"/>
          <w:sz w:val="32"/>
          <w:szCs w:val="32"/>
          <w:lang w:val="en-US" w:eastAsia="zh-CN" w:bidi="ar-SA"/>
        </w:rPr>
        <w:t>、强化党风廉政建设，确保廉洁自律</w:t>
      </w:r>
      <w:r>
        <w:rPr>
          <w:rFonts w:hint="default" w:ascii="仿宋_GB2312" w:hAnsi="仿宋_GB2312" w:eastAsia="仿宋_GB2312" w:cs="仿宋_GB2312"/>
          <w:b/>
          <w:bCs/>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持续加强作风建设，规范“三会一课”，定期开展党员活动日、廉政教育课等活动。严格执行“三重一大”制度，加强班子间的沟通交流，组织参观廉政教育基地，筑牢反腐倡廉防线。</w:t>
      </w:r>
    </w:p>
    <w:p w14:paraId="7338FFEA">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九、</w:t>
      </w:r>
      <w:r>
        <w:rPr>
          <w:rFonts w:hint="eastAsia" w:ascii="Times New Roman" w:hAnsi="Times New Roman" w:eastAsia="黑体" w:cs="Times New Roman"/>
          <w:sz w:val="32"/>
          <w:szCs w:val="32"/>
          <w:highlight w:val="none"/>
          <w:lang w:eastAsia="zh-CN"/>
        </w:rPr>
        <w:t>单位</w:t>
      </w:r>
      <w:r>
        <w:rPr>
          <w:rFonts w:hint="default" w:ascii="Times New Roman" w:hAnsi="Times New Roman" w:eastAsia="黑体" w:cs="Times New Roman"/>
          <w:sz w:val="32"/>
          <w:szCs w:val="32"/>
          <w:highlight w:val="none"/>
        </w:rPr>
        <w:t>整体支出绩效自评结果拟应用和公开情况</w:t>
      </w:r>
    </w:p>
    <w:p w14:paraId="7FF212CC">
      <w:pPr>
        <w:pStyle w:val="4"/>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rPr>
      </w:pPr>
      <w:r>
        <w:rPr>
          <w:rFonts w:hint="eastAsia" w:ascii="仿宋_GB2312" w:hAnsi="仿宋_GB2312" w:eastAsia="仿宋_GB2312" w:cs="仿宋_GB2312"/>
          <w:sz w:val="32"/>
          <w:szCs w:val="32"/>
          <w:lang w:val="en-US" w:eastAsia="zh-CN"/>
        </w:rPr>
        <w:t>本单位</w:t>
      </w:r>
      <w:r>
        <w:rPr>
          <w:rFonts w:hint="eastAsia" w:ascii="仿宋_GB2312" w:hAnsi="仿宋_GB2312" w:eastAsia="仿宋_GB2312" w:cs="仿宋_GB2312"/>
          <w:sz w:val="32"/>
          <w:szCs w:val="32"/>
          <w:lang w:eastAsia="zh-CN"/>
        </w:rPr>
        <w:t>绩效自评结果为良好等级。下一步将根据财政检查绩效自评发现的问题等进行改善，并按政务公开的相关规定，及时将部门整体支出及项目绩效自评报告，通过门户网站向社会公开。</w:t>
      </w:r>
    </w:p>
    <w:p w14:paraId="6384FC75">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十、</w:t>
      </w:r>
      <w:r>
        <w:rPr>
          <w:rFonts w:hint="default" w:ascii="Times New Roman" w:hAnsi="Times New Roman" w:eastAsia="黑体" w:cs="Times New Roman"/>
          <w:sz w:val="32"/>
          <w:szCs w:val="32"/>
          <w:highlight w:val="none"/>
        </w:rPr>
        <w:t>其他需要说明的情况</w:t>
      </w:r>
    </w:p>
    <w:p w14:paraId="741BB2D6">
      <w:pPr>
        <w:pStyle w:val="4"/>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14:paraId="5E8B2BE8">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14:paraId="5629EBD9">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报告需要以下附件：</w:t>
      </w:r>
    </w:p>
    <w:p w14:paraId="303611B8">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部门整体支出绩效评价基础数据表</w:t>
      </w:r>
    </w:p>
    <w:p w14:paraId="4DED4E37">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部门整体支出绩效自评表</w:t>
      </w:r>
    </w:p>
    <w:p w14:paraId="2B4E75D4">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项目支出绩效自评表（一个一级项目支出一张表）</w:t>
      </w:r>
    </w:p>
    <w:p w14:paraId="028E37C6">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政府性基金预算支出情况表</w:t>
      </w:r>
    </w:p>
    <w:p w14:paraId="05EFEB49">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国有资本经营预算支出情况表</w:t>
      </w:r>
    </w:p>
    <w:p w14:paraId="50C03AF5">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6</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社会保险基金预算支出情况表</w:t>
      </w:r>
    </w:p>
    <w:p w14:paraId="15F36C5F">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FB3043"/>
    <w:multiLevelType w:val="singleLevel"/>
    <w:tmpl w:val="FCFB3043"/>
    <w:lvl w:ilvl="0" w:tentative="0">
      <w:start w:val="1"/>
      <w:numFmt w:val="decimal"/>
      <w:suff w:val="nothing"/>
      <w:lvlText w:val="%1、"/>
      <w:lvlJc w:val="left"/>
    </w:lvl>
  </w:abstractNum>
  <w:abstractNum w:abstractNumId="1">
    <w:nsid w:val="0D6D5912"/>
    <w:multiLevelType w:val="singleLevel"/>
    <w:tmpl w:val="0D6D5912"/>
    <w:lvl w:ilvl="0" w:tentative="0">
      <w:start w:val="1"/>
      <w:numFmt w:val="chineseCounting"/>
      <w:suff w:val="nothing"/>
      <w:lvlText w:val="%1、"/>
      <w:lvlJc w:val="left"/>
      <w:rPr>
        <w:rFonts w:hint="eastAsia"/>
      </w:rPr>
    </w:lvl>
  </w:abstractNum>
  <w:abstractNum w:abstractNumId="2">
    <w:nsid w:val="4C47CF32"/>
    <w:multiLevelType w:val="singleLevel"/>
    <w:tmpl w:val="4C47CF32"/>
    <w:lvl w:ilvl="0" w:tentative="0">
      <w:start w:val="8"/>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0ZTUxZDRkNzI1MzAwYWFiNDA2YjgwZTdkMWZlNGUifQ=="/>
  </w:docVars>
  <w:rsids>
    <w:rsidRoot w:val="59886344"/>
    <w:rsid w:val="01A63CD7"/>
    <w:rsid w:val="02740C23"/>
    <w:rsid w:val="03380674"/>
    <w:rsid w:val="03D61236"/>
    <w:rsid w:val="04207E21"/>
    <w:rsid w:val="044779E7"/>
    <w:rsid w:val="04665F1D"/>
    <w:rsid w:val="04CB2C07"/>
    <w:rsid w:val="050424C6"/>
    <w:rsid w:val="05412745"/>
    <w:rsid w:val="058C7E64"/>
    <w:rsid w:val="058F1A07"/>
    <w:rsid w:val="05FD2B10"/>
    <w:rsid w:val="08CE609D"/>
    <w:rsid w:val="0A2C48FB"/>
    <w:rsid w:val="0A3A5A49"/>
    <w:rsid w:val="0A8E0CF2"/>
    <w:rsid w:val="0AC8263F"/>
    <w:rsid w:val="0C844E03"/>
    <w:rsid w:val="0CE01F46"/>
    <w:rsid w:val="0D9D24E2"/>
    <w:rsid w:val="0EA578A0"/>
    <w:rsid w:val="0FCE32B3"/>
    <w:rsid w:val="0FFE195E"/>
    <w:rsid w:val="10282A91"/>
    <w:rsid w:val="10A87B61"/>
    <w:rsid w:val="113A4C18"/>
    <w:rsid w:val="11496C09"/>
    <w:rsid w:val="11C0213A"/>
    <w:rsid w:val="11F748B7"/>
    <w:rsid w:val="127C4DBC"/>
    <w:rsid w:val="16FF2141"/>
    <w:rsid w:val="17E01CEC"/>
    <w:rsid w:val="185D40D7"/>
    <w:rsid w:val="18B23140"/>
    <w:rsid w:val="191F5F30"/>
    <w:rsid w:val="1A846CC1"/>
    <w:rsid w:val="1AF62AC5"/>
    <w:rsid w:val="1C161A62"/>
    <w:rsid w:val="1E7F253B"/>
    <w:rsid w:val="1EA00084"/>
    <w:rsid w:val="1ED96131"/>
    <w:rsid w:val="1F1F4789"/>
    <w:rsid w:val="1F503858"/>
    <w:rsid w:val="20566C4C"/>
    <w:rsid w:val="212E3725"/>
    <w:rsid w:val="21884F0C"/>
    <w:rsid w:val="219429D4"/>
    <w:rsid w:val="238C4C0D"/>
    <w:rsid w:val="23B66BD2"/>
    <w:rsid w:val="25D33553"/>
    <w:rsid w:val="25DD15C5"/>
    <w:rsid w:val="26676CA3"/>
    <w:rsid w:val="269229A8"/>
    <w:rsid w:val="27796F26"/>
    <w:rsid w:val="28B42FD1"/>
    <w:rsid w:val="29171045"/>
    <w:rsid w:val="2A0E53D4"/>
    <w:rsid w:val="2A222295"/>
    <w:rsid w:val="2D1A7254"/>
    <w:rsid w:val="2E1E53E3"/>
    <w:rsid w:val="2EA064A0"/>
    <w:rsid w:val="307028E6"/>
    <w:rsid w:val="30B8300C"/>
    <w:rsid w:val="31183FE8"/>
    <w:rsid w:val="3188594B"/>
    <w:rsid w:val="3229553B"/>
    <w:rsid w:val="3380548F"/>
    <w:rsid w:val="33AA7583"/>
    <w:rsid w:val="33C63C91"/>
    <w:rsid w:val="35E12B4D"/>
    <w:rsid w:val="36CF468C"/>
    <w:rsid w:val="37B10062"/>
    <w:rsid w:val="38657F1D"/>
    <w:rsid w:val="38D42EAA"/>
    <w:rsid w:val="39211013"/>
    <w:rsid w:val="3925145A"/>
    <w:rsid w:val="393A75ED"/>
    <w:rsid w:val="39404BDD"/>
    <w:rsid w:val="398A3CE5"/>
    <w:rsid w:val="3A604186"/>
    <w:rsid w:val="3B186377"/>
    <w:rsid w:val="3B7346FF"/>
    <w:rsid w:val="3BEC625F"/>
    <w:rsid w:val="3D7F6A3A"/>
    <w:rsid w:val="3E081DAF"/>
    <w:rsid w:val="3E3658EB"/>
    <w:rsid w:val="3E542340"/>
    <w:rsid w:val="3F5F315E"/>
    <w:rsid w:val="406C7CC6"/>
    <w:rsid w:val="41C71F06"/>
    <w:rsid w:val="447339C1"/>
    <w:rsid w:val="45BE5498"/>
    <w:rsid w:val="469E71A8"/>
    <w:rsid w:val="46DE0B39"/>
    <w:rsid w:val="474F17A4"/>
    <w:rsid w:val="47C62C3F"/>
    <w:rsid w:val="482707A3"/>
    <w:rsid w:val="490F7633"/>
    <w:rsid w:val="49547006"/>
    <w:rsid w:val="49555444"/>
    <w:rsid w:val="49CA4977"/>
    <w:rsid w:val="49FE6356"/>
    <w:rsid w:val="4A0C3094"/>
    <w:rsid w:val="4A3605A8"/>
    <w:rsid w:val="4AC62A9D"/>
    <w:rsid w:val="4BDD5BE0"/>
    <w:rsid w:val="4C531609"/>
    <w:rsid w:val="4ECF5C98"/>
    <w:rsid w:val="4EE43655"/>
    <w:rsid w:val="4F0B013B"/>
    <w:rsid w:val="4FDB79C1"/>
    <w:rsid w:val="53AE31BA"/>
    <w:rsid w:val="543245E8"/>
    <w:rsid w:val="547F6D46"/>
    <w:rsid w:val="55924C55"/>
    <w:rsid w:val="55A439DB"/>
    <w:rsid w:val="568B06F7"/>
    <w:rsid w:val="570A0F13"/>
    <w:rsid w:val="57CE2F91"/>
    <w:rsid w:val="58095CBB"/>
    <w:rsid w:val="581037D2"/>
    <w:rsid w:val="585A4825"/>
    <w:rsid w:val="5899321A"/>
    <w:rsid w:val="59886344"/>
    <w:rsid w:val="5A0215A1"/>
    <w:rsid w:val="5A6C18A8"/>
    <w:rsid w:val="5AF17033"/>
    <w:rsid w:val="5AFA409D"/>
    <w:rsid w:val="5B1C7423"/>
    <w:rsid w:val="5B531ADB"/>
    <w:rsid w:val="5BA65531"/>
    <w:rsid w:val="5BEA24B6"/>
    <w:rsid w:val="5C0105BA"/>
    <w:rsid w:val="5C514191"/>
    <w:rsid w:val="5D55249C"/>
    <w:rsid w:val="5D6D6A5B"/>
    <w:rsid w:val="5DAF73C1"/>
    <w:rsid w:val="5E260208"/>
    <w:rsid w:val="60B3748A"/>
    <w:rsid w:val="61811074"/>
    <w:rsid w:val="61C6117D"/>
    <w:rsid w:val="61E41157"/>
    <w:rsid w:val="63796007"/>
    <w:rsid w:val="645227C1"/>
    <w:rsid w:val="66263ABB"/>
    <w:rsid w:val="679338AF"/>
    <w:rsid w:val="699C5B6F"/>
    <w:rsid w:val="6A3F2BCE"/>
    <w:rsid w:val="6AE079AE"/>
    <w:rsid w:val="6B2A452A"/>
    <w:rsid w:val="6C2D4049"/>
    <w:rsid w:val="6CAB51F7"/>
    <w:rsid w:val="6DB75915"/>
    <w:rsid w:val="6E657628"/>
    <w:rsid w:val="6F3922E7"/>
    <w:rsid w:val="6F8F4EC7"/>
    <w:rsid w:val="6FAB550E"/>
    <w:rsid w:val="71500A63"/>
    <w:rsid w:val="71FD5E92"/>
    <w:rsid w:val="72C2773E"/>
    <w:rsid w:val="72F74E03"/>
    <w:rsid w:val="73337351"/>
    <w:rsid w:val="734175FF"/>
    <w:rsid w:val="758F7F6D"/>
    <w:rsid w:val="75CE77D5"/>
    <w:rsid w:val="765C119A"/>
    <w:rsid w:val="787D5D0E"/>
    <w:rsid w:val="78DB3B19"/>
    <w:rsid w:val="791D063B"/>
    <w:rsid w:val="7ABD2CC5"/>
    <w:rsid w:val="7B754E49"/>
    <w:rsid w:val="7D8B2B7A"/>
    <w:rsid w:val="7EFC2BD2"/>
    <w:rsid w:val="7F0F7867"/>
    <w:rsid w:val="7F1E3D69"/>
    <w:rsid w:val="7F48099F"/>
    <w:rsid w:val="7F711595"/>
    <w:rsid w:val="DFEF8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宋体" w:cs="Times New Roman"/>
      <w:kern w:val="0"/>
      <w:sz w:val="28"/>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Calibri" w:hAnsi="Calibri" w:eastAsia="宋体" w:cs="宋体"/>
      <w:kern w:val="2"/>
      <w:sz w:val="21"/>
      <w:szCs w:val="24"/>
    </w:rPr>
  </w:style>
  <w:style w:type="paragraph" w:styleId="3">
    <w:name w:val="annotation text"/>
    <w:basedOn w:val="1"/>
    <w:qFormat/>
    <w:uiPriority w:val="0"/>
    <w:pPr>
      <w:jc w:val="left"/>
    </w:pPr>
  </w:style>
  <w:style w:type="paragraph" w:styleId="4">
    <w:name w:val="Body Text"/>
    <w:basedOn w:val="1"/>
    <w:next w:val="5"/>
    <w:semiHidden/>
    <w:qFormat/>
    <w:uiPriority w:val="0"/>
    <w:rPr>
      <w:rFonts w:ascii="仿宋" w:hAnsi="仿宋" w:eastAsia="仿宋" w:cs="仿宋"/>
      <w:sz w:val="31"/>
      <w:szCs w:val="31"/>
      <w:lang w:val="en-US" w:eastAsia="en-US" w:bidi="ar-SA"/>
    </w:rPr>
  </w:style>
  <w:style w:type="paragraph" w:styleId="5">
    <w:name w:val="toc 5"/>
    <w:basedOn w:val="1"/>
    <w:next w:val="1"/>
    <w:qFormat/>
    <w:uiPriority w:val="0"/>
    <w:pPr>
      <w:ind w:left="1680" w:leftChars="800"/>
    </w:pPr>
  </w:style>
  <w:style w:type="paragraph" w:styleId="6">
    <w:name w:val="footer"/>
    <w:qFormat/>
    <w:uiPriority w:val="0"/>
    <w:pPr>
      <w:widowControl w:val="0"/>
      <w:tabs>
        <w:tab w:val="center" w:pos="4153"/>
        <w:tab w:val="right" w:pos="8306"/>
      </w:tabs>
      <w:snapToGrid w:val="0"/>
      <w:jc w:val="left"/>
    </w:pPr>
    <w:rPr>
      <w:rFonts w:ascii="仿宋" w:hAnsi="仿宋" w:eastAsia="宋体" w:cs="Times New Roman"/>
      <w:kern w:val="0"/>
      <w:sz w:val="18"/>
      <w:szCs w:val="24"/>
      <w:lang w:val="en-US" w:eastAsia="zh-CN" w:bidi="ar-SA"/>
    </w:rPr>
  </w:style>
  <w:style w:type="paragraph" w:styleId="7">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仿宋" w:hAnsi="仿宋" w:eastAsia="宋体" w:cs="Times New Roman"/>
      <w:kern w:val="0"/>
      <w:sz w:val="18"/>
      <w:szCs w:val="24"/>
      <w:lang w:val="en-US" w:eastAsia="zh-CN" w:bidi="ar-SA"/>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1">
    <w:name w:val="列出段落1"/>
    <w:basedOn w:val="1"/>
    <w:qFormat/>
    <w:uiPriority w:val="34"/>
    <w:pPr>
      <w:ind w:firstLine="420" w:firstLineChars="200"/>
    </w:pPr>
  </w:style>
  <w:style w:type="paragraph" w:styleId="12">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1981</Words>
  <Characters>2208</Characters>
  <Lines>0</Lines>
  <Paragraphs>0</Paragraphs>
  <TotalTime>23</TotalTime>
  <ScaleCrop>false</ScaleCrop>
  <LinksUpToDate>false</LinksUpToDate>
  <CharactersWithSpaces>2322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2024-03-18T08:36:00Z</dcterms:created>
  <dc:creator>Administrator</dc:creator>
  <cp:lastModifiedBy>严碧琪</cp:lastModifiedBy>
  <dcterms:modified xsi:type="dcterms:W3CDTF">2025-06-17T03:56:03Z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94EA49C4EC4C49D0B0C0C25FC1DCCF62_13</vt:lpwstr>
  </property>
  <property fmtid="{D5CDD505-2E9C-101B-9397-08002B2CF9AE}" pid="4" name="KSOTemplateDocerSaveRecord">
    <vt:lpwstr>eyJoZGlkIjoiNjgxZmIyZGM1NjlmYzFmNTczZGVkNWYyNWIwMGFjMmUiLCJ1c2VySWQiOiIyOTMyNjEyNDMifQ==</vt:lpwstr>
  </property>
</Properties>
</file>