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BAC0C">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25862F71">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47BB04BB">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3D9F567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65DC0F6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3368862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421E429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42EEED49">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5CB9C90B">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972335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w:t>
            </w:r>
          </w:p>
        </w:tc>
        <w:tc>
          <w:tcPr>
            <w:tcW w:w="2240" w:type="dxa"/>
            <w:gridSpan w:val="2"/>
            <w:tcBorders>
              <w:top w:val="single" w:color="auto" w:sz="4" w:space="0"/>
              <w:left w:val="nil"/>
              <w:bottom w:val="single" w:color="auto" w:sz="4" w:space="0"/>
              <w:right w:val="single" w:color="auto" w:sz="4" w:space="0"/>
            </w:tcBorders>
            <w:noWrap w:val="0"/>
            <w:vAlign w:val="center"/>
          </w:tcPr>
          <w:p w14:paraId="5642A968">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w:t>
            </w:r>
          </w:p>
        </w:tc>
        <w:tc>
          <w:tcPr>
            <w:tcW w:w="2041" w:type="dxa"/>
            <w:gridSpan w:val="2"/>
            <w:tcBorders>
              <w:top w:val="single" w:color="auto" w:sz="4" w:space="0"/>
              <w:left w:val="nil"/>
              <w:bottom w:val="single" w:color="auto" w:sz="4" w:space="0"/>
              <w:right w:val="single" w:color="auto" w:sz="4" w:space="0"/>
            </w:tcBorders>
            <w:noWrap w:val="0"/>
            <w:vAlign w:val="center"/>
          </w:tcPr>
          <w:p w14:paraId="44C91BE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100.00%</w:t>
            </w:r>
            <w:r>
              <w:rPr>
                <w:rFonts w:hint="eastAsia" w:ascii="仿宋_GB2312" w:hAnsi="仿宋_GB2312" w:eastAsia="仿宋_GB2312" w:cs="仿宋_GB2312"/>
                <w:sz w:val="20"/>
                <w:szCs w:val="20"/>
                <w:highlight w:val="none"/>
              </w:rPr>
              <w:t>　</w:t>
            </w:r>
          </w:p>
        </w:tc>
      </w:tr>
      <w:tr w14:paraId="212F996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57B7E9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4A2452F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F9A361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w:t>
            </w:r>
            <w:r>
              <w:rPr>
                <w:rFonts w:hint="eastAsia" w:ascii="仿宋_GB2312" w:hAnsi="仿宋_GB2312" w:eastAsia="仿宋_GB2312" w:cs="仿宋_GB2312"/>
                <w:b/>
                <w:bCs/>
                <w:sz w:val="20"/>
                <w:szCs w:val="20"/>
                <w:highlight w:val="none"/>
                <w:lang w:val="en-US" w:eastAsia="zh-CN"/>
              </w:rPr>
              <w:t>24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6E484D4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421CF73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CDD949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63C242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5.27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D52615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5E6F6A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3.60</w:t>
            </w:r>
          </w:p>
        </w:tc>
      </w:tr>
      <w:tr w14:paraId="6DFA471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86E5ED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2BAADD2">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3.30</w:t>
            </w:r>
          </w:p>
        </w:tc>
        <w:tc>
          <w:tcPr>
            <w:tcW w:w="2240" w:type="dxa"/>
            <w:gridSpan w:val="2"/>
            <w:tcBorders>
              <w:top w:val="single" w:color="auto" w:sz="4" w:space="0"/>
              <w:left w:val="nil"/>
              <w:bottom w:val="single" w:color="auto" w:sz="4" w:space="0"/>
              <w:right w:val="single" w:color="000000" w:sz="4" w:space="0"/>
            </w:tcBorders>
            <w:noWrap w:val="0"/>
            <w:vAlign w:val="center"/>
          </w:tcPr>
          <w:p w14:paraId="6404B0FC">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0041FCCE">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3.00</w:t>
            </w:r>
          </w:p>
        </w:tc>
      </w:tr>
      <w:tr w14:paraId="1F0CE74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B0E7E5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0363076E">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1BB6287">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966039D">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195C879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E2DFB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6BB44A6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3.30</w:t>
            </w:r>
          </w:p>
        </w:tc>
        <w:tc>
          <w:tcPr>
            <w:tcW w:w="2240" w:type="dxa"/>
            <w:gridSpan w:val="2"/>
            <w:tcBorders>
              <w:top w:val="single" w:color="auto" w:sz="4" w:space="0"/>
              <w:left w:val="nil"/>
              <w:bottom w:val="single" w:color="auto" w:sz="4" w:space="0"/>
              <w:right w:val="single" w:color="000000" w:sz="4" w:space="0"/>
            </w:tcBorders>
            <w:noWrap w:val="0"/>
            <w:vAlign w:val="center"/>
          </w:tcPr>
          <w:p w14:paraId="4170646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7E56C02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w:t>
            </w:r>
          </w:p>
        </w:tc>
      </w:tr>
      <w:tr w14:paraId="16A670D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978B9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3630770">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334EB41A">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EF1EE40">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5CA745D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6622A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1B2F0B5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1.97</w:t>
            </w:r>
          </w:p>
        </w:tc>
        <w:tc>
          <w:tcPr>
            <w:tcW w:w="2240" w:type="dxa"/>
            <w:gridSpan w:val="2"/>
            <w:tcBorders>
              <w:top w:val="single" w:color="auto" w:sz="4" w:space="0"/>
              <w:left w:val="nil"/>
              <w:bottom w:val="single" w:color="auto" w:sz="4" w:space="0"/>
              <w:right w:val="single" w:color="000000" w:sz="4" w:space="0"/>
            </w:tcBorders>
            <w:noWrap w:val="0"/>
            <w:vAlign w:val="center"/>
          </w:tcPr>
          <w:p w14:paraId="1DCCD68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23EC439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0.60</w:t>
            </w:r>
          </w:p>
        </w:tc>
      </w:tr>
      <w:tr w14:paraId="7ECA1A9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17329E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0252ABB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2657.72</w:t>
            </w:r>
          </w:p>
        </w:tc>
        <w:tc>
          <w:tcPr>
            <w:tcW w:w="2240" w:type="dxa"/>
            <w:gridSpan w:val="2"/>
            <w:tcBorders>
              <w:top w:val="single" w:color="auto" w:sz="4" w:space="0"/>
              <w:left w:val="nil"/>
              <w:bottom w:val="single" w:color="auto" w:sz="4" w:space="0"/>
              <w:right w:val="single" w:color="000000" w:sz="4" w:space="0"/>
            </w:tcBorders>
            <w:noWrap w:val="0"/>
            <w:vAlign w:val="center"/>
          </w:tcPr>
          <w:p w14:paraId="60DCFC1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73.61</w:t>
            </w:r>
          </w:p>
        </w:tc>
        <w:tc>
          <w:tcPr>
            <w:tcW w:w="2041" w:type="dxa"/>
            <w:gridSpan w:val="2"/>
            <w:tcBorders>
              <w:top w:val="single" w:color="auto" w:sz="4" w:space="0"/>
              <w:left w:val="nil"/>
              <w:bottom w:val="single" w:color="auto" w:sz="4" w:space="0"/>
              <w:right w:val="single" w:color="000000" w:sz="4" w:space="0"/>
            </w:tcBorders>
            <w:noWrap w:val="0"/>
            <w:vAlign w:val="center"/>
          </w:tcPr>
          <w:p w14:paraId="6553EA0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1302.63</w:t>
            </w:r>
          </w:p>
        </w:tc>
      </w:tr>
      <w:tr w14:paraId="4665490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A9CD3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w:t>
            </w:r>
            <w:r>
              <w:rPr>
                <w:rFonts w:hint="eastAsia" w:ascii="仿宋_GB2312" w:hAnsi="仿宋_GB2312" w:eastAsia="仿宋_GB2312" w:cs="仿宋_GB2312"/>
                <w:sz w:val="20"/>
                <w:szCs w:val="20"/>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6151BE8">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0264405">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2F14AC4">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77F279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759C2C">
            <w:pPr>
              <w:widowControl/>
              <w:spacing w:line="360" w:lineRule="exact"/>
              <w:ind w:firstLine="400" w:firstLineChars="2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rPr>
              <w:t>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94C0276">
            <w:pPr>
              <w:widowControl/>
              <w:spacing w:line="360" w:lineRule="exact"/>
              <w:jc w:val="center"/>
              <w:rPr>
                <w:rFonts w:hint="eastAsia" w:ascii="仿宋_GB2312" w:hAnsi="仿宋_GB2312" w:eastAsia="仿宋_GB2312" w:cs="仿宋_GB2312"/>
                <w:color w:val="000000"/>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077DDC1">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0804231">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439C3A6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F7FDF8">
            <w:pPr>
              <w:widowControl/>
              <w:spacing w:line="360" w:lineRule="exact"/>
              <w:ind w:firstLine="400" w:firstLineChars="2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上级专项资金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34691C89">
            <w:pPr>
              <w:widowControl/>
              <w:spacing w:line="3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highlight w:val="none"/>
                <w:lang w:val="en-US" w:eastAsia="zh-CN"/>
              </w:rPr>
              <w:t>2574.78</w:t>
            </w:r>
          </w:p>
        </w:tc>
        <w:tc>
          <w:tcPr>
            <w:tcW w:w="2240" w:type="dxa"/>
            <w:gridSpan w:val="2"/>
            <w:tcBorders>
              <w:top w:val="single" w:color="auto" w:sz="4" w:space="0"/>
              <w:left w:val="nil"/>
              <w:bottom w:val="single" w:color="auto" w:sz="4" w:space="0"/>
              <w:right w:val="single" w:color="000000" w:sz="4" w:space="0"/>
            </w:tcBorders>
            <w:noWrap w:val="0"/>
            <w:vAlign w:val="center"/>
          </w:tcPr>
          <w:p w14:paraId="5C8A8554">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14:paraId="2A4169E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1203.71</w:t>
            </w:r>
          </w:p>
        </w:tc>
      </w:tr>
      <w:tr w14:paraId="14E3A3B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59E2B3">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08FE21F0">
            <w:pPr>
              <w:widowControl/>
              <w:spacing w:line="3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sz w:val="20"/>
                <w:szCs w:val="20"/>
                <w:highlight w:val="none"/>
                <w:lang w:val="en-US" w:eastAsia="zh-CN"/>
              </w:rPr>
              <w:t>24.79</w:t>
            </w:r>
          </w:p>
        </w:tc>
        <w:tc>
          <w:tcPr>
            <w:tcW w:w="2240" w:type="dxa"/>
            <w:gridSpan w:val="2"/>
            <w:tcBorders>
              <w:top w:val="single" w:color="auto" w:sz="4" w:space="0"/>
              <w:left w:val="nil"/>
              <w:bottom w:val="single" w:color="auto" w:sz="4" w:space="0"/>
              <w:right w:val="single" w:color="000000" w:sz="4" w:space="0"/>
            </w:tcBorders>
            <w:noWrap w:val="0"/>
            <w:vAlign w:val="center"/>
          </w:tcPr>
          <w:p w14:paraId="40B7CC2F">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12.00</w:t>
            </w:r>
          </w:p>
        </w:tc>
        <w:tc>
          <w:tcPr>
            <w:tcW w:w="2041" w:type="dxa"/>
            <w:gridSpan w:val="2"/>
            <w:tcBorders>
              <w:top w:val="single" w:color="auto" w:sz="4" w:space="0"/>
              <w:left w:val="nil"/>
              <w:bottom w:val="single" w:color="auto" w:sz="4" w:space="0"/>
              <w:right w:val="single" w:color="000000" w:sz="4" w:space="0"/>
            </w:tcBorders>
            <w:noWrap w:val="0"/>
            <w:vAlign w:val="center"/>
          </w:tcPr>
          <w:p w14:paraId="1AF4759C">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14.10</w:t>
            </w:r>
          </w:p>
        </w:tc>
      </w:tr>
      <w:tr w14:paraId="122BBC7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1FFE6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65B3403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15.00</w:t>
            </w:r>
          </w:p>
        </w:tc>
        <w:tc>
          <w:tcPr>
            <w:tcW w:w="2240" w:type="dxa"/>
            <w:gridSpan w:val="2"/>
            <w:tcBorders>
              <w:top w:val="single" w:color="auto" w:sz="4" w:space="0"/>
              <w:left w:val="nil"/>
              <w:bottom w:val="single" w:color="auto" w:sz="4" w:space="0"/>
              <w:right w:val="single" w:color="000000" w:sz="4" w:space="0"/>
            </w:tcBorders>
            <w:noWrap w:val="0"/>
            <w:vAlign w:val="center"/>
          </w:tcPr>
          <w:p w14:paraId="1C856919">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15.00</w:t>
            </w:r>
          </w:p>
        </w:tc>
        <w:tc>
          <w:tcPr>
            <w:tcW w:w="2041" w:type="dxa"/>
            <w:gridSpan w:val="2"/>
            <w:tcBorders>
              <w:top w:val="single" w:color="auto" w:sz="4" w:space="0"/>
              <w:left w:val="nil"/>
              <w:bottom w:val="single" w:color="auto" w:sz="4" w:space="0"/>
              <w:right w:val="single" w:color="000000" w:sz="4" w:space="0"/>
            </w:tcBorders>
            <w:noWrap w:val="0"/>
            <w:vAlign w:val="center"/>
          </w:tcPr>
          <w:p w14:paraId="2B31BD5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14.96</w:t>
            </w:r>
          </w:p>
        </w:tc>
      </w:tr>
      <w:tr w14:paraId="4D9B300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E48FB9">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6、环境监察、监测等运行</w:t>
            </w:r>
          </w:p>
        </w:tc>
        <w:tc>
          <w:tcPr>
            <w:tcW w:w="2038" w:type="dxa"/>
            <w:gridSpan w:val="2"/>
            <w:tcBorders>
              <w:top w:val="single" w:color="auto" w:sz="4" w:space="0"/>
              <w:left w:val="nil"/>
              <w:bottom w:val="single" w:color="auto" w:sz="4" w:space="0"/>
              <w:right w:val="single" w:color="000000" w:sz="4" w:space="0"/>
            </w:tcBorders>
            <w:noWrap w:val="0"/>
            <w:vAlign w:val="center"/>
          </w:tcPr>
          <w:p w14:paraId="562B682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43.14</w:t>
            </w:r>
          </w:p>
        </w:tc>
        <w:tc>
          <w:tcPr>
            <w:tcW w:w="2240" w:type="dxa"/>
            <w:gridSpan w:val="2"/>
            <w:tcBorders>
              <w:top w:val="single" w:color="auto" w:sz="4" w:space="0"/>
              <w:left w:val="nil"/>
              <w:bottom w:val="single" w:color="auto" w:sz="4" w:space="0"/>
              <w:right w:val="single" w:color="000000" w:sz="4" w:space="0"/>
            </w:tcBorders>
            <w:noWrap w:val="0"/>
            <w:vAlign w:val="center"/>
          </w:tcPr>
          <w:p w14:paraId="00B18DAD">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46.61</w:t>
            </w:r>
          </w:p>
        </w:tc>
        <w:tc>
          <w:tcPr>
            <w:tcW w:w="2041" w:type="dxa"/>
            <w:gridSpan w:val="2"/>
            <w:tcBorders>
              <w:top w:val="single" w:color="auto" w:sz="4" w:space="0"/>
              <w:left w:val="nil"/>
              <w:bottom w:val="single" w:color="auto" w:sz="4" w:space="0"/>
              <w:right w:val="single" w:color="000000" w:sz="4" w:space="0"/>
            </w:tcBorders>
            <w:noWrap w:val="0"/>
            <w:vAlign w:val="center"/>
          </w:tcPr>
          <w:p w14:paraId="7CB14DE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69.86</w:t>
            </w:r>
          </w:p>
        </w:tc>
      </w:tr>
      <w:tr w14:paraId="1280E02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0C9D4F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2C8663E">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262.65</w:t>
            </w:r>
          </w:p>
        </w:tc>
        <w:tc>
          <w:tcPr>
            <w:tcW w:w="2240" w:type="dxa"/>
            <w:gridSpan w:val="2"/>
            <w:tcBorders>
              <w:top w:val="single" w:color="auto" w:sz="4" w:space="0"/>
              <w:left w:val="nil"/>
              <w:bottom w:val="single" w:color="auto" w:sz="4" w:space="0"/>
              <w:right w:val="single" w:color="000000" w:sz="4" w:space="0"/>
            </w:tcBorders>
            <w:noWrap w:val="0"/>
            <w:vAlign w:val="center"/>
          </w:tcPr>
          <w:p w14:paraId="384E67B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269.89</w:t>
            </w:r>
          </w:p>
        </w:tc>
        <w:tc>
          <w:tcPr>
            <w:tcW w:w="2041" w:type="dxa"/>
            <w:gridSpan w:val="2"/>
            <w:tcBorders>
              <w:top w:val="single" w:color="auto" w:sz="4" w:space="0"/>
              <w:left w:val="nil"/>
              <w:bottom w:val="single" w:color="auto" w:sz="4" w:space="0"/>
              <w:right w:val="single" w:color="000000" w:sz="4" w:space="0"/>
            </w:tcBorders>
            <w:noWrap w:val="0"/>
            <w:vAlign w:val="center"/>
          </w:tcPr>
          <w:p w14:paraId="2D10A7C8">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258.21</w:t>
            </w:r>
          </w:p>
        </w:tc>
      </w:tr>
      <w:tr w14:paraId="7C28F17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3F0D1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C138996">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214.62</w:t>
            </w:r>
          </w:p>
        </w:tc>
        <w:tc>
          <w:tcPr>
            <w:tcW w:w="2240" w:type="dxa"/>
            <w:gridSpan w:val="2"/>
            <w:tcBorders>
              <w:top w:val="single" w:color="auto" w:sz="4" w:space="0"/>
              <w:left w:val="nil"/>
              <w:bottom w:val="single" w:color="auto" w:sz="4" w:space="0"/>
              <w:right w:val="single" w:color="000000" w:sz="4" w:space="0"/>
            </w:tcBorders>
            <w:noWrap w:val="0"/>
            <w:vAlign w:val="center"/>
          </w:tcPr>
          <w:p w14:paraId="49BAD00D">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215.12</w:t>
            </w:r>
          </w:p>
        </w:tc>
        <w:tc>
          <w:tcPr>
            <w:tcW w:w="2041" w:type="dxa"/>
            <w:gridSpan w:val="2"/>
            <w:tcBorders>
              <w:top w:val="single" w:color="auto" w:sz="4" w:space="0"/>
              <w:left w:val="nil"/>
              <w:bottom w:val="single" w:color="auto" w:sz="4" w:space="0"/>
              <w:right w:val="single" w:color="000000" w:sz="4" w:space="0"/>
            </w:tcBorders>
            <w:noWrap w:val="0"/>
            <w:vAlign w:val="center"/>
          </w:tcPr>
          <w:p w14:paraId="7E38380D">
            <w:pPr>
              <w:widowControl/>
              <w:spacing w:line="360" w:lineRule="exact"/>
              <w:jc w:val="center"/>
              <w:rPr>
                <w:rFonts w:hint="default"/>
                <w:lang w:val="en-US" w:eastAsia="zh-CN"/>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207.64</w:t>
            </w:r>
          </w:p>
        </w:tc>
      </w:tr>
      <w:tr w14:paraId="423F17B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5F9A3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31680706">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29.97</w:t>
            </w:r>
          </w:p>
        </w:tc>
        <w:tc>
          <w:tcPr>
            <w:tcW w:w="2240" w:type="dxa"/>
            <w:gridSpan w:val="2"/>
            <w:tcBorders>
              <w:top w:val="single" w:color="auto" w:sz="4" w:space="0"/>
              <w:left w:val="nil"/>
              <w:bottom w:val="single" w:color="auto" w:sz="4" w:space="0"/>
              <w:right w:val="single" w:color="000000" w:sz="4" w:space="0"/>
            </w:tcBorders>
            <w:noWrap w:val="0"/>
            <w:vAlign w:val="center"/>
          </w:tcPr>
          <w:p w14:paraId="2241EF3F">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20.00</w:t>
            </w:r>
          </w:p>
        </w:tc>
        <w:tc>
          <w:tcPr>
            <w:tcW w:w="2041" w:type="dxa"/>
            <w:gridSpan w:val="2"/>
            <w:tcBorders>
              <w:top w:val="single" w:color="auto" w:sz="4" w:space="0"/>
              <w:left w:val="nil"/>
              <w:bottom w:val="single" w:color="auto" w:sz="4" w:space="0"/>
              <w:right w:val="single" w:color="000000" w:sz="4" w:space="0"/>
            </w:tcBorders>
            <w:noWrap w:val="0"/>
            <w:vAlign w:val="center"/>
          </w:tcPr>
          <w:p w14:paraId="4D7531DB">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20.01</w:t>
            </w:r>
          </w:p>
        </w:tc>
      </w:tr>
      <w:tr w14:paraId="6C1BC00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A2731A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56ACAB26">
            <w:pPr>
              <w:widowControl/>
              <w:spacing w:line="360" w:lineRule="exact"/>
              <w:jc w:val="center"/>
              <w:rPr>
                <w:rFonts w:hint="eastAsia" w:ascii="仿宋_GB2312" w:hAnsi="仿宋_GB2312" w:eastAsia="仿宋_GB2312" w:cs="仿宋_GB2312"/>
                <w:color w:val="000000" w:themeColor="text1"/>
                <w:sz w:val="20"/>
                <w:szCs w:val="20"/>
                <w:highlight w:val="none"/>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3.99</w:t>
            </w:r>
          </w:p>
        </w:tc>
        <w:tc>
          <w:tcPr>
            <w:tcW w:w="2240" w:type="dxa"/>
            <w:gridSpan w:val="2"/>
            <w:tcBorders>
              <w:top w:val="single" w:color="auto" w:sz="4" w:space="0"/>
              <w:left w:val="nil"/>
              <w:bottom w:val="single" w:color="auto" w:sz="4" w:space="0"/>
              <w:right w:val="single" w:color="000000" w:sz="4" w:space="0"/>
            </w:tcBorders>
            <w:noWrap w:val="0"/>
            <w:vAlign w:val="center"/>
          </w:tcPr>
          <w:p w14:paraId="28C47BC0">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2.00</w:t>
            </w:r>
          </w:p>
        </w:tc>
        <w:tc>
          <w:tcPr>
            <w:tcW w:w="2041" w:type="dxa"/>
            <w:gridSpan w:val="2"/>
            <w:tcBorders>
              <w:top w:val="single" w:color="auto" w:sz="4" w:space="0"/>
              <w:left w:val="nil"/>
              <w:bottom w:val="single" w:color="auto" w:sz="4" w:space="0"/>
              <w:right w:val="single" w:color="000000" w:sz="4" w:space="0"/>
            </w:tcBorders>
            <w:noWrap w:val="0"/>
            <w:vAlign w:val="center"/>
          </w:tcPr>
          <w:p w14:paraId="7D5AE43C">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1.02</w:t>
            </w:r>
          </w:p>
        </w:tc>
      </w:tr>
      <w:tr w14:paraId="1301FCD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3F474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6AD1807F">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sz w:val="20"/>
                <w:szCs w:val="20"/>
                <w:highlight w:val="none"/>
                <w:lang w:val="en-US" w:eastAsia="zh-CN"/>
              </w:rPr>
              <w:t>627.08</w:t>
            </w:r>
          </w:p>
        </w:tc>
        <w:tc>
          <w:tcPr>
            <w:tcW w:w="2240" w:type="dxa"/>
            <w:gridSpan w:val="2"/>
            <w:tcBorders>
              <w:top w:val="single" w:color="auto" w:sz="4" w:space="0"/>
              <w:left w:val="nil"/>
              <w:bottom w:val="single" w:color="auto" w:sz="4" w:space="0"/>
              <w:right w:val="single" w:color="000000" w:sz="4" w:space="0"/>
            </w:tcBorders>
            <w:noWrap w:val="0"/>
            <w:vAlign w:val="center"/>
          </w:tcPr>
          <w:p w14:paraId="46340B35">
            <w:pPr>
              <w:widowControl/>
              <w:spacing w:line="360" w:lineRule="exact"/>
              <w:jc w:val="center"/>
              <w:rPr>
                <w:rFonts w:hint="default" w:ascii="仿宋_GB2312" w:hAnsi="仿宋_GB2312" w:eastAsia="仿宋_GB2312" w:cs="仿宋_GB2312"/>
                <w:color w:val="000000" w:themeColor="text1"/>
                <w:sz w:val="20"/>
                <w:szCs w:val="20"/>
                <w:highlight w:val="none"/>
                <w:lang w:val="en-US"/>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174.88</w:t>
            </w:r>
          </w:p>
        </w:tc>
        <w:tc>
          <w:tcPr>
            <w:tcW w:w="2041" w:type="dxa"/>
            <w:gridSpan w:val="2"/>
            <w:tcBorders>
              <w:top w:val="single" w:color="auto" w:sz="4" w:space="0"/>
              <w:left w:val="nil"/>
              <w:bottom w:val="single" w:color="auto" w:sz="4" w:space="0"/>
              <w:right w:val="single" w:color="000000" w:sz="4" w:space="0"/>
            </w:tcBorders>
            <w:noWrap w:val="0"/>
            <w:vAlign w:val="center"/>
          </w:tcPr>
          <w:p w14:paraId="051D28D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390.30</w:t>
            </w:r>
          </w:p>
        </w:tc>
      </w:tr>
      <w:tr w14:paraId="2A7CFCB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4A8C8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62F0677E">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6081B77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167.40</w:t>
            </w:r>
          </w:p>
        </w:tc>
        <w:tc>
          <w:tcPr>
            <w:tcW w:w="2041" w:type="dxa"/>
            <w:gridSpan w:val="2"/>
            <w:tcBorders>
              <w:top w:val="single" w:color="auto" w:sz="4" w:space="0"/>
              <w:left w:val="nil"/>
              <w:bottom w:val="single" w:color="auto" w:sz="4" w:space="0"/>
              <w:right w:val="single" w:color="000000" w:sz="4" w:space="0"/>
            </w:tcBorders>
            <w:noWrap w:val="0"/>
            <w:vAlign w:val="center"/>
          </w:tcPr>
          <w:p w14:paraId="3E2B28D6">
            <w:pPr>
              <w:widowControl/>
              <w:spacing w:line="360" w:lineRule="exact"/>
              <w:jc w:val="center"/>
              <w:rPr>
                <w:rFonts w:hint="eastAsia" w:ascii="仿宋_GB2312" w:hAnsi="仿宋_GB2312" w:eastAsia="仿宋_GB2312" w:cs="仿宋_GB2312"/>
                <w:sz w:val="20"/>
                <w:szCs w:val="20"/>
                <w:highlight w:val="none"/>
              </w:rPr>
            </w:pPr>
          </w:p>
        </w:tc>
      </w:tr>
      <w:tr w14:paraId="38469410">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2AD5DBB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04558F3C">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42EC5CCB">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23E27DA4">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1B829A8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7599699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282F98B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8940F05">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21DC799B">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21F0A06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37C22E8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618168E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615ACAC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200985C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4E92022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67AF8C7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D4930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31C3C51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79DE9297">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42BB28D2">
      <w:pPr>
        <w:widowControl/>
        <w:spacing w:afterLines="0" w:line="400" w:lineRule="exact"/>
        <w:jc w:val="left"/>
        <w:rPr>
          <w:rFonts w:hint="default" w:ascii="Times New Roman" w:hAnsi="Times New Roman" w:eastAsia="仿宋_GB2312" w:cs="Times New Roman"/>
          <w:sz w:val="22"/>
          <w:highlight w:val="none"/>
        </w:rPr>
      </w:pPr>
    </w:p>
    <w:p w14:paraId="7A51D0FB">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9A41BA1">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74"/>
        <w:gridCol w:w="1074"/>
        <w:gridCol w:w="1025"/>
        <w:gridCol w:w="1265"/>
        <w:gridCol w:w="1306"/>
        <w:gridCol w:w="1316"/>
        <w:gridCol w:w="713"/>
        <w:gridCol w:w="872"/>
        <w:gridCol w:w="1434"/>
      </w:tblGrid>
      <w:tr w14:paraId="7FE79EF8">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14:paraId="59C0B87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5" w:type="dxa"/>
            <w:gridSpan w:val="8"/>
            <w:tcBorders>
              <w:top w:val="single" w:color="auto" w:sz="4" w:space="0"/>
              <w:left w:val="nil"/>
              <w:bottom w:val="single" w:color="auto" w:sz="4" w:space="0"/>
              <w:right w:val="single" w:color="auto" w:sz="4" w:space="0"/>
            </w:tcBorders>
            <w:noWrap w:val="0"/>
            <w:vAlign w:val="center"/>
          </w:tcPr>
          <w:p w14:paraId="7981662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岳阳市生态环境局岳阳县分局</w:t>
            </w:r>
            <w:r>
              <w:rPr>
                <w:rFonts w:hint="eastAsia" w:ascii="仿宋_GB2312" w:hAnsi="仿宋_GB2312" w:eastAsia="仿宋_GB2312" w:cs="仿宋_GB2312"/>
                <w:color w:val="000000"/>
                <w:sz w:val="20"/>
                <w:szCs w:val="20"/>
                <w:highlight w:val="none"/>
              </w:rPr>
              <w:t>　</w:t>
            </w:r>
          </w:p>
        </w:tc>
      </w:tr>
      <w:tr w14:paraId="00372FEB">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68DA51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67BAB78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99" w:type="dxa"/>
            <w:gridSpan w:val="2"/>
            <w:tcBorders>
              <w:top w:val="nil"/>
              <w:left w:val="nil"/>
              <w:bottom w:val="single" w:color="auto" w:sz="4" w:space="0"/>
              <w:right w:val="single" w:color="auto" w:sz="4" w:space="0"/>
            </w:tcBorders>
            <w:noWrap w:val="0"/>
            <w:vAlign w:val="center"/>
          </w:tcPr>
          <w:p w14:paraId="46A01D4A">
            <w:pPr>
              <w:spacing w:line="240" w:lineRule="exact"/>
              <w:jc w:val="center"/>
              <w:rPr>
                <w:rFonts w:hint="eastAsia" w:ascii="仿宋_GB2312" w:hAnsi="仿宋_GB2312" w:eastAsia="仿宋_GB2312" w:cs="仿宋_GB2312"/>
                <w:sz w:val="20"/>
                <w:szCs w:val="20"/>
                <w:highlight w:val="none"/>
              </w:rPr>
            </w:pPr>
          </w:p>
        </w:tc>
        <w:tc>
          <w:tcPr>
            <w:tcW w:w="1265" w:type="dxa"/>
            <w:tcBorders>
              <w:top w:val="nil"/>
              <w:left w:val="nil"/>
              <w:bottom w:val="single" w:color="auto" w:sz="4" w:space="0"/>
              <w:right w:val="single" w:color="auto" w:sz="4" w:space="0"/>
            </w:tcBorders>
            <w:noWrap w:val="0"/>
            <w:vAlign w:val="center"/>
          </w:tcPr>
          <w:p w14:paraId="7F13C35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6" w:type="dxa"/>
            <w:tcBorders>
              <w:top w:val="nil"/>
              <w:left w:val="nil"/>
              <w:bottom w:val="single" w:color="auto" w:sz="4" w:space="0"/>
              <w:right w:val="single" w:color="auto" w:sz="4" w:space="0"/>
            </w:tcBorders>
            <w:noWrap w:val="0"/>
            <w:vAlign w:val="center"/>
          </w:tcPr>
          <w:p w14:paraId="73F0D81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316" w:type="dxa"/>
            <w:tcBorders>
              <w:top w:val="nil"/>
              <w:left w:val="nil"/>
              <w:bottom w:val="single" w:color="auto" w:sz="4" w:space="0"/>
              <w:right w:val="single" w:color="auto" w:sz="4" w:space="0"/>
            </w:tcBorders>
            <w:noWrap w:val="0"/>
            <w:vAlign w:val="center"/>
          </w:tcPr>
          <w:p w14:paraId="59822CCB">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3" w:type="dxa"/>
            <w:tcBorders>
              <w:top w:val="nil"/>
              <w:left w:val="nil"/>
              <w:bottom w:val="single" w:color="auto" w:sz="4" w:space="0"/>
              <w:right w:val="single" w:color="auto" w:sz="4" w:space="0"/>
            </w:tcBorders>
            <w:noWrap w:val="0"/>
            <w:vAlign w:val="center"/>
          </w:tcPr>
          <w:p w14:paraId="027000A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2" w:type="dxa"/>
            <w:tcBorders>
              <w:top w:val="nil"/>
              <w:left w:val="nil"/>
              <w:bottom w:val="single" w:color="auto" w:sz="4" w:space="0"/>
              <w:right w:val="single" w:color="auto" w:sz="4" w:space="0"/>
            </w:tcBorders>
            <w:noWrap w:val="0"/>
            <w:vAlign w:val="center"/>
          </w:tcPr>
          <w:p w14:paraId="577B10E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4" w:type="dxa"/>
            <w:tcBorders>
              <w:top w:val="nil"/>
              <w:left w:val="nil"/>
              <w:bottom w:val="single" w:color="auto" w:sz="4" w:space="0"/>
              <w:right w:val="single" w:color="auto" w:sz="4" w:space="0"/>
            </w:tcBorders>
            <w:noWrap w:val="0"/>
            <w:vAlign w:val="center"/>
          </w:tcPr>
          <w:p w14:paraId="7842E07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463AB69">
        <w:tblPrEx>
          <w:tblCellMar>
            <w:top w:w="0" w:type="dxa"/>
            <w:left w:w="108" w:type="dxa"/>
            <w:bottom w:w="0" w:type="dxa"/>
            <w:right w:w="108" w:type="dxa"/>
          </w:tblCellMar>
        </w:tblPrEx>
        <w:trPr>
          <w:jc w:val="center"/>
        </w:trPr>
        <w:tc>
          <w:tcPr>
            <w:tcW w:w="1074" w:type="dxa"/>
            <w:vMerge w:val="continue"/>
            <w:tcBorders>
              <w:top w:val="nil"/>
              <w:left w:val="single" w:color="auto" w:sz="4" w:space="0"/>
              <w:right w:val="single" w:color="auto" w:sz="4" w:space="0"/>
            </w:tcBorders>
            <w:noWrap w:val="0"/>
            <w:vAlign w:val="center"/>
          </w:tcPr>
          <w:p w14:paraId="6A06452C">
            <w:pPr>
              <w:widowControl/>
              <w:spacing w:line="240" w:lineRule="exact"/>
              <w:jc w:val="center"/>
              <w:rPr>
                <w:rFonts w:hint="eastAsia" w:ascii="仿宋_GB2312" w:hAnsi="仿宋_GB2312" w:eastAsia="仿宋_GB2312" w:cs="仿宋_GB2312"/>
                <w:color w:val="000000"/>
                <w:sz w:val="20"/>
                <w:szCs w:val="20"/>
                <w:highlight w:val="none"/>
              </w:rPr>
            </w:pPr>
          </w:p>
        </w:tc>
        <w:tc>
          <w:tcPr>
            <w:tcW w:w="2099" w:type="dxa"/>
            <w:gridSpan w:val="2"/>
            <w:tcBorders>
              <w:top w:val="nil"/>
              <w:left w:val="nil"/>
              <w:bottom w:val="single" w:color="auto" w:sz="4" w:space="0"/>
              <w:right w:val="single" w:color="auto" w:sz="4" w:space="0"/>
            </w:tcBorders>
            <w:noWrap w:val="0"/>
            <w:vAlign w:val="center"/>
          </w:tcPr>
          <w:p w14:paraId="0363713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65" w:type="dxa"/>
            <w:tcBorders>
              <w:top w:val="nil"/>
              <w:left w:val="nil"/>
              <w:bottom w:val="single" w:color="auto" w:sz="4" w:space="0"/>
              <w:right w:val="single" w:color="auto" w:sz="4" w:space="0"/>
            </w:tcBorders>
            <w:noWrap w:val="0"/>
            <w:vAlign w:val="center"/>
          </w:tcPr>
          <w:p w14:paraId="0F8703D8">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1758.83</w:t>
            </w:r>
          </w:p>
        </w:tc>
        <w:tc>
          <w:tcPr>
            <w:tcW w:w="1306" w:type="dxa"/>
            <w:tcBorders>
              <w:top w:val="nil"/>
              <w:left w:val="nil"/>
              <w:bottom w:val="single" w:color="auto" w:sz="4" w:space="0"/>
              <w:right w:val="single" w:color="auto" w:sz="4" w:space="0"/>
            </w:tcBorders>
            <w:noWrap w:val="0"/>
            <w:vAlign w:val="center"/>
          </w:tcPr>
          <w:p w14:paraId="4978BBDB">
            <w:pPr>
              <w:spacing w:line="24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3259.92</w:t>
            </w:r>
          </w:p>
        </w:tc>
        <w:tc>
          <w:tcPr>
            <w:tcW w:w="1316" w:type="dxa"/>
            <w:tcBorders>
              <w:top w:val="nil"/>
              <w:left w:val="nil"/>
              <w:bottom w:val="single" w:color="auto" w:sz="4" w:space="0"/>
              <w:right w:val="single" w:color="auto" w:sz="4" w:space="0"/>
            </w:tcBorders>
            <w:noWrap w:val="0"/>
            <w:vAlign w:val="center"/>
          </w:tcPr>
          <w:p w14:paraId="2EB50A0D">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3151.00</w:t>
            </w:r>
          </w:p>
        </w:tc>
        <w:tc>
          <w:tcPr>
            <w:tcW w:w="713" w:type="dxa"/>
            <w:tcBorders>
              <w:top w:val="nil"/>
              <w:left w:val="nil"/>
              <w:bottom w:val="single" w:color="auto" w:sz="4" w:space="0"/>
              <w:right w:val="single" w:color="auto" w:sz="4" w:space="0"/>
            </w:tcBorders>
            <w:noWrap w:val="0"/>
            <w:vAlign w:val="center"/>
          </w:tcPr>
          <w:p w14:paraId="639A7BD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2" w:type="dxa"/>
            <w:tcBorders>
              <w:top w:val="nil"/>
              <w:left w:val="nil"/>
              <w:bottom w:val="single" w:color="auto" w:sz="4" w:space="0"/>
              <w:right w:val="single" w:color="auto" w:sz="4" w:space="0"/>
            </w:tcBorders>
            <w:noWrap w:val="0"/>
            <w:vAlign w:val="center"/>
          </w:tcPr>
          <w:p w14:paraId="0FD70617">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96.66%</w:t>
            </w:r>
          </w:p>
        </w:tc>
        <w:tc>
          <w:tcPr>
            <w:tcW w:w="1434" w:type="dxa"/>
            <w:tcBorders>
              <w:top w:val="nil"/>
              <w:left w:val="nil"/>
              <w:bottom w:val="single" w:color="auto" w:sz="4" w:space="0"/>
              <w:right w:val="single" w:color="auto" w:sz="4" w:space="0"/>
            </w:tcBorders>
            <w:noWrap w:val="0"/>
            <w:vAlign w:val="center"/>
          </w:tcPr>
          <w:p w14:paraId="643FDE71">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9.96</w:t>
            </w:r>
          </w:p>
        </w:tc>
      </w:tr>
      <w:tr w14:paraId="3B08559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1A1E5B1">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nil"/>
              <w:left w:val="nil"/>
              <w:bottom w:val="single" w:color="auto" w:sz="4" w:space="0"/>
              <w:right w:val="single" w:color="auto" w:sz="4" w:space="0"/>
            </w:tcBorders>
            <w:noWrap w:val="0"/>
            <w:vAlign w:val="center"/>
          </w:tcPr>
          <w:p w14:paraId="2117F62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5" w:type="dxa"/>
            <w:gridSpan w:val="4"/>
            <w:tcBorders>
              <w:top w:val="nil"/>
              <w:left w:val="nil"/>
              <w:bottom w:val="single" w:color="auto" w:sz="4" w:space="0"/>
              <w:right w:val="single" w:color="auto" w:sz="4" w:space="0"/>
            </w:tcBorders>
            <w:noWrap w:val="0"/>
            <w:vAlign w:val="center"/>
          </w:tcPr>
          <w:p w14:paraId="644E68E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54D9E32C">
        <w:tblPrEx>
          <w:tblCellMar>
            <w:top w:w="0" w:type="dxa"/>
            <w:left w:w="108" w:type="dxa"/>
            <w:bottom w:w="0" w:type="dxa"/>
            <w:right w:w="108" w:type="dxa"/>
          </w:tblCellMar>
        </w:tblPrEx>
        <w:trPr>
          <w:trHeight w:val="335" w:hRule="atLeast"/>
          <w:jc w:val="center"/>
        </w:trPr>
        <w:tc>
          <w:tcPr>
            <w:tcW w:w="1074" w:type="dxa"/>
            <w:vMerge w:val="continue"/>
            <w:tcBorders>
              <w:left w:val="single" w:color="auto" w:sz="4" w:space="0"/>
              <w:right w:val="single" w:color="auto" w:sz="4" w:space="0"/>
            </w:tcBorders>
            <w:noWrap w:val="0"/>
            <w:vAlign w:val="center"/>
          </w:tcPr>
          <w:p w14:paraId="20B1FF88">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nil"/>
              <w:left w:val="nil"/>
              <w:bottom w:val="single" w:color="auto" w:sz="4" w:space="0"/>
              <w:right w:val="single" w:color="auto" w:sz="4" w:space="0"/>
            </w:tcBorders>
            <w:noWrap w:val="0"/>
            <w:vAlign w:val="center"/>
          </w:tcPr>
          <w:p w14:paraId="18C0E411">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2207.60</w:t>
            </w:r>
          </w:p>
        </w:tc>
        <w:tc>
          <w:tcPr>
            <w:tcW w:w="4335" w:type="dxa"/>
            <w:gridSpan w:val="4"/>
            <w:tcBorders>
              <w:top w:val="nil"/>
              <w:left w:val="nil"/>
              <w:bottom w:val="single" w:color="auto" w:sz="4" w:space="0"/>
              <w:right w:val="single" w:color="auto" w:sz="4" w:space="0"/>
            </w:tcBorders>
            <w:noWrap w:val="0"/>
            <w:vAlign w:val="center"/>
          </w:tcPr>
          <w:p w14:paraId="77F68F9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其中：基本支出：1</w:t>
            </w:r>
            <w:r>
              <w:rPr>
                <w:rFonts w:hint="eastAsia" w:ascii="仿宋_GB2312" w:hAnsi="仿宋_GB2312" w:eastAsia="仿宋_GB2312" w:cs="仿宋_GB2312"/>
                <w:color w:val="000000"/>
                <w:sz w:val="20"/>
                <w:szCs w:val="20"/>
                <w:highlight w:val="none"/>
                <w:lang w:val="en-US" w:eastAsia="zh-CN"/>
              </w:rPr>
              <w:t>848.37</w:t>
            </w:r>
          </w:p>
        </w:tc>
      </w:tr>
      <w:tr w14:paraId="1266700F">
        <w:tblPrEx>
          <w:tblCellMar>
            <w:top w:w="0" w:type="dxa"/>
            <w:left w:w="108" w:type="dxa"/>
            <w:bottom w:w="0" w:type="dxa"/>
            <w:right w:w="108" w:type="dxa"/>
          </w:tblCellMar>
        </w:tblPrEx>
        <w:trPr>
          <w:trHeight w:val="250" w:hRule="atLeast"/>
          <w:jc w:val="center"/>
        </w:trPr>
        <w:tc>
          <w:tcPr>
            <w:tcW w:w="1074" w:type="dxa"/>
            <w:vMerge w:val="continue"/>
            <w:tcBorders>
              <w:left w:val="single" w:color="auto" w:sz="4" w:space="0"/>
              <w:right w:val="single" w:color="auto" w:sz="4" w:space="0"/>
            </w:tcBorders>
            <w:noWrap w:val="0"/>
            <w:vAlign w:val="center"/>
          </w:tcPr>
          <w:p w14:paraId="6F5C2A8E">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nil"/>
              <w:left w:val="nil"/>
              <w:bottom w:val="single" w:color="auto" w:sz="4" w:space="0"/>
              <w:right w:val="single" w:color="auto" w:sz="4" w:space="0"/>
            </w:tcBorders>
            <w:noWrap w:val="0"/>
            <w:vAlign w:val="center"/>
          </w:tcPr>
          <w:p w14:paraId="7D777073">
            <w:pPr>
              <w:widowControl/>
              <w:spacing w:line="240" w:lineRule="exact"/>
              <w:ind w:firstLine="1000" w:firstLineChars="5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5" w:type="dxa"/>
            <w:gridSpan w:val="4"/>
            <w:tcBorders>
              <w:top w:val="nil"/>
              <w:left w:val="nil"/>
              <w:bottom w:val="single" w:color="auto" w:sz="4" w:space="0"/>
              <w:right w:val="single" w:color="auto" w:sz="4" w:space="0"/>
            </w:tcBorders>
            <w:noWrap w:val="0"/>
            <w:vAlign w:val="center"/>
          </w:tcPr>
          <w:p w14:paraId="70D4E5C7">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1302.63</w:t>
            </w:r>
          </w:p>
        </w:tc>
      </w:tr>
      <w:tr w14:paraId="0262B48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3A105F5">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nil"/>
              <w:left w:val="nil"/>
              <w:bottom w:val="single" w:color="auto" w:sz="4" w:space="0"/>
              <w:right w:val="single" w:color="auto" w:sz="4" w:space="0"/>
            </w:tcBorders>
            <w:noWrap w:val="0"/>
            <w:vAlign w:val="center"/>
          </w:tcPr>
          <w:p w14:paraId="1D3FA7D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35" w:type="dxa"/>
            <w:gridSpan w:val="4"/>
            <w:tcBorders>
              <w:top w:val="nil"/>
              <w:left w:val="nil"/>
              <w:bottom w:val="single" w:color="auto" w:sz="4" w:space="0"/>
              <w:right w:val="single" w:color="auto" w:sz="4" w:space="0"/>
            </w:tcBorders>
            <w:noWrap w:val="0"/>
            <w:vAlign w:val="center"/>
          </w:tcPr>
          <w:p w14:paraId="2F989EF3">
            <w:pPr>
              <w:widowControl/>
              <w:spacing w:line="240" w:lineRule="exact"/>
              <w:jc w:val="left"/>
              <w:rPr>
                <w:rFonts w:hint="eastAsia" w:ascii="仿宋_GB2312" w:hAnsi="仿宋_GB2312" w:eastAsia="仿宋_GB2312" w:cs="仿宋_GB2312"/>
                <w:color w:val="000000"/>
                <w:sz w:val="20"/>
                <w:szCs w:val="20"/>
                <w:highlight w:val="none"/>
              </w:rPr>
            </w:pPr>
          </w:p>
        </w:tc>
      </w:tr>
      <w:tr w14:paraId="1BE550E2">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000000" w:sz="4" w:space="0"/>
              <w:right w:val="single" w:color="auto" w:sz="4" w:space="0"/>
            </w:tcBorders>
            <w:noWrap w:val="0"/>
            <w:vAlign w:val="center"/>
          </w:tcPr>
          <w:p w14:paraId="5910A55C">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nil"/>
              <w:left w:val="nil"/>
              <w:bottom w:val="single" w:color="auto" w:sz="4" w:space="0"/>
              <w:right w:val="single" w:color="auto" w:sz="4" w:space="0"/>
            </w:tcBorders>
            <w:noWrap w:val="0"/>
            <w:vAlign w:val="center"/>
          </w:tcPr>
          <w:p w14:paraId="4AD65E56">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1052.32</w:t>
            </w:r>
          </w:p>
        </w:tc>
        <w:tc>
          <w:tcPr>
            <w:tcW w:w="4335" w:type="dxa"/>
            <w:gridSpan w:val="4"/>
            <w:tcBorders>
              <w:top w:val="nil"/>
              <w:left w:val="nil"/>
              <w:bottom w:val="single" w:color="auto" w:sz="4" w:space="0"/>
              <w:right w:val="single" w:color="auto" w:sz="4" w:space="0"/>
            </w:tcBorders>
            <w:noWrap w:val="0"/>
            <w:vAlign w:val="center"/>
          </w:tcPr>
          <w:p w14:paraId="5E9D9636">
            <w:pPr>
              <w:widowControl/>
              <w:spacing w:line="240" w:lineRule="exact"/>
              <w:jc w:val="left"/>
              <w:rPr>
                <w:rFonts w:hint="eastAsia" w:ascii="仿宋_GB2312" w:hAnsi="仿宋_GB2312" w:eastAsia="仿宋_GB2312" w:cs="仿宋_GB2312"/>
                <w:color w:val="000000"/>
                <w:sz w:val="20"/>
                <w:szCs w:val="20"/>
                <w:highlight w:val="none"/>
              </w:rPr>
            </w:pPr>
          </w:p>
        </w:tc>
      </w:tr>
      <w:tr w14:paraId="72515BCA">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14:paraId="4B3402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0" w:type="dxa"/>
            <w:gridSpan w:val="4"/>
            <w:tcBorders>
              <w:top w:val="single" w:color="auto" w:sz="4" w:space="0"/>
              <w:left w:val="nil"/>
              <w:bottom w:val="single" w:color="auto" w:sz="4" w:space="0"/>
              <w:right w:val="single" w:color="000000" w:sz="4" w:space="0"/>
            </w:tcBorders>
            <w:noWrap w:val="0"/>
            <w:vAlign w:val="center"/>
          </w:tcPr>
          <w:p w14:paraId="515B308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5" w:type="dxa"/>
            <w:gridSpan w:val="4"/>
            <w:tcBorders>
              <w:top w:val="single" w:color="auto" w:sz="4" w:space="0"/>
              <w:left w:val="nil"/>
              <w:bottom w:val="single" w:color="auto" w:sz="4" w:space="0"/>
              <w:right w:val="single" w:color="auto" w:sz="4" w:space="0"/>
            </w:tcBorders>
            <w:noWrap w:val="0"/>
            <w:vAlign w:val="center"/>
          </w:tcPr>
          <w:p w14:paraId="18ED69E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30FEDB4">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14:paraId="35872CBF">
            <w:pPr>
              <w:widowControl/>
              <w:spacing w:line="240" w:lineRule="exact"/>
              <w:jc w:val="left"/>
              <w:rPr>
                <w:rFonts w:hint="eastAsia" w:ascii="仿宋_GB2312" w:hAnsi="仿宋_GB2312" w:eastAsia="仿宋_GB2312" w:cs="仿宋_GB2312"/>
                <w:color w:val="000000"/>
                <w:sz w:val="20"/>
                <w:szCs w:val="20"/>
                <w:highlight w:val="none"/>
              </w:rPr>
            </w:pPr>
          </w:p>
        </w:tc>
        <w:tc>
          <w:tcPr>
            <w:tcW w:w="4670" w:type="dxa"/>
            <w:gridSpan w:val="4"/>
            <w:tcBorders>
              <w:top w:val="single" w:color="auto" w:sz="4" w:space="0"/>
              <w:left w:val="nil"/>
              <w:bottom w:val="single" w:color="auto" w:sz="4" w:space="0"/>
              <w:right w:val="single" w:color="000000" w:sz="4" w:space="0"/>
            </w:tcBorders>
            <w:noWrap w:val="0"/>
            <w:vAlign w:val="center"/>
          </w:tcPr>
          <w:p w14:paraId="72DE6888">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目标1</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eastAsia="zh-CN"/>
              </w:rPr>
              <w:t>县城空气质量优良率达到89%以上，PM2.5浓度控制在35ug/m3以下.</w:t>
            </w:r>
          </w:p>
          <w:p w14:paraId="1A41D3D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目标2</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eastAsia="zh-CN"/>
              </w:rPr>
              <w:t>国、省控断面水质达标率达到市级考核要求，集中式饮用水水源地水质达标率保持在100%.</w:t>
            </w:r>
          </w:p>
          <w:p w14:paraId="2D25286C">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目标3</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eastAsia="zh-CN"/>
              </w:rPr>
              <w:t>不发生重大环境污染事故和重大生态破坏事件.</w:t>
            </w:r>
          </w:p>
        </w:tc>
        <w:tc>
          <w:tcPr>
            <w:tcW w:w="4335" w:type="dxa"/>
            <w:gridSpan w:val="4"/>
            <w:tcBorders>
              <w:top w:val="single" w:color="auto" w:sz="4" w:space="0"/>
              <w:left w:val="nil"/>
              <w:bottom w:val="single" w:color="auto" w:sz="4" w:space="0"/>
              <w:right w:val="single" w:color="auto" w:sz="4" w:space="0"/>
            </w:tcBorders>
            <w:noWrap w:val="0"/>
            <w:vAlign w:val="center"/>
          </w:tcPr>
          <w:p w14:paraId="0E123914">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100%已完成</w:t>
            </w:r>
          </w:p>
        </w:tc>
      </w:tr>
      <w:tr w14:paraId="3974C7EE">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14:paraId="08AD16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8BF66B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0593E2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32377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569C246C">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D0C5A5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E5BC3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8F433D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5F39C0D">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C04D3E9">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41E68B6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557F5AD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5DA76DB">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CC241A5">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22239DA">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492E0DA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31C5070">
            <w:pPr>
              <w:widowControl/>
              <w:spacing w:line="240" w:lineRule="exact"/>
              <w:jc w:val="center"/>
              <w:rPr>
                <w:rFonts w:hint="eastAsia" w:ascii="仿宋_GB2312" w:hAnsi="仿宋_GB2312" w:eastAsia="仿宋_GB2312" w:cs="仿宋_GB2312"/>
                <w:color w:val="000000"/>
                <w:sz w:val="20"/>
                <w:szCs w:val="20"/>
                <w:highlight w:val="none"/>
              </w:rPr>
            </w:pPr>
          </w:p>
          <w:p w14:paraId="47FBF72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4EFEA71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AF6A6D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各项环保专项行动</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1007A2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20</w:t>
            </w:r>
            <w:r>
              <w:rPr>
                <w:rFonts w:hint="eastAsia" w:ascii="仿宋_GB2312" w:hAnsi="仿宋_GB2312" w:eastAsia="仿宋_GB2312" w:cs="仿宋_GB2312"/>
                <w:color w:val="000000"/>
                <w:sz w:val="20"/>
                <w:szCs w:val="20"/>
              </w:rPr>
              <w:t>次</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4155029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超额完成</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6767DEC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426A79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64040B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9D2EC6">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29C11204">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192D4B59">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5ABEE6F">
            <w:pPr>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EC733D2">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重点监管单位规范化环境管理</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20F624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无重</w:t>
            </w:r>
            <w:r>
              <w:rPr>
                <w:rFonts w:hint="eastAsia" w:ascii="仿宋_GB2312" w:hAnsi="宋体" w:eastAsia="仿宋_GB2312" w:cs="仿宋_GB2312"/>
                <w:i w:val="0"/>
                <w:iCs w:val="0"/>
                <w:color w:val="000000"/>
                <w:kern w:val="0"/>
                <w:sz w:val="20"/>
                <w:szCs w:val="20"/>
                <w:u w:val="none"/>
                <w:lang w:val="en-US" w:eastAsia="zh-CN" w:bidi="ar"/>
              </w:rPr>
              <w:t>大污染事件发生</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1DB02C4">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0发生</w:t>
            </w:r>
          </w:p>
        </w:tc>
        <w:tc>
          <w:tcPr>
            <w:tcW w:w="713" w:type="dxa"/>
            <w:tcBorders>
              <w:top w:val="single" w:color="auto" w:sz="4" w:space="0"/>
              <w:left w:val="single" w:color="auto" w:sz="4" w:space="0"/>
              <w:bottom w:val="single" w:color="auto" w:sz="4" w:space="0"/>
              <w:right w:val="single" w:color="auto" w:sz="4" w:space="0"/>
            </w:tcBorders>
            <w:shd w:val="clear"/>
            <w:noWrap w:val="0"/>
            <w:vAlign w:val="center"/>
          </w:tcPr>
          <w:p w14:paraId="32E59514">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shd w:val="clear"/>
            <w:noWrap w:val="0"/>
            <w:vAlign w:val="center"/>
          </w:tcPr>
          <w:p w14:paraId="5B012ADD">
            <w:pPr>
              <w:widowControl/>
              <w:spacing w:line="240" w:lineRule="exact"/>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3D6D3F22">
            <w:pPr>
              <w:widowControl/>
              <w:spacing w:line="240" w:lineRule="exact"/>
              <w:jc w:val="left"/>
              <w:rPr>
                <w:rFonts w:hint="eastAsia" w:ascii="仿宋_GB2312" w:hAnsi="仿宋_GB2312" w:eastAsia="仿宋_GB2312" w:cs="仿宋_GB2312"/>
                <w:color w:val="000000"/>
                <w:sz w:val="20"/>
                <w:szCs w:val="20"/>
                <w:highlight w:val="none"/>
              </w:rPr>
            </w:pPr>
          </w:p>
        </w:tc>
      </w:tr>
      <w:tr w14:paraId="62882865">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62466A8">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A22B192">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56C8BFCC">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A85BE2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突出问题整改销号</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D34E42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达到上级要求</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22B38937">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达标</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5FBA747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3192F2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159756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E1ACB2">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2569849D">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46466264">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restart"/>
            <w:tcBorders>
              <w:top w:val="single" w:color="auto" w:sz="4" w:space="0"/>
              <w:left w:val="single" w:color="auto" w:sz="4" w:space="0"/>
              <w:right w:val="single" w:color="auto" w:sz="4" w:space="0"/>
            </w:tcBorders>
            <w:noWrap w:val="0"/>
            <w:vAlign w:val="center"/>
          </w:tcPr>
          <w:p w14:paraId="71346FD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9F32B0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空气质量优良率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E8D0CF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89</w:t>
            </w:r>
            <w:r>
              <w:rPr>
                <w:rFonts w:hint="eastAsia" w:ascii="仿宋_GB2312" w:hAnsi="仿宋_GB2312" w:eastAsia="仿宋_GB2312" w:cs="仿宋_GB2312"/>
                <w:color w:val="000000"/>
                <w:sz w:val="20"/>
                <w:szCs w:val="20"/>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E34EBF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88%</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0056EF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E22B9E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3527601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1BE9CE">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3788F1C2">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050B5D7A">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left w:val="single" w:color="auto" w:sz="4" w:space="0"/>
              <w:right w:val="single" w:color="auto" w:sz="4" w:space="0"/>
            </w:tcBorders>
            <w:noWrap w:val="0"/>
            <w:vAlign w:val="center"/>
          </w:tcPr>
          <w:p w14:paraId="24BF5262">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B7FE87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集中式饮用水水源地水质达标率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74FE76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100</w:t>
            </w:r>
            <w:r>
              <w:rPr>
                <w:rFonts w:hint="eastAsia" w:ascii="仿宋_GB2312" w:hAnsi="仿宋_GB2312" w:eastAsia="仿宋_GB2312" w:cs="仿宋_GB2312"/>
                <w:color w:val="000000"/>
                <w:sz w:val="20"/>
                <w:szCs w:val="20"/>
                <w:lang w:val="en-US" w:eastAsia="zh-CN"/>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5BC1C06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达标率稳定保持100%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15F28063">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02A8B80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highlight w:val="no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A7F5181">
            <w:pPr>
              <w:widowControl/>
              <w:spacing w:line="240" w:lineRule="exact"/>
              <w:jc w:val="left"/>
              <w:rPr>
                <w:rFonts w:hint="eastAsia" w:ascii="仿宋_GB2312" w:hAnsi="仿宋_GB2312" w:eastAsia="仿宋_GB2312" w:cs="仿宋_GB2312"/>
                <w:color w:val="000000"/>
                <w:sz w:val="20"/>
                <w:szCs w:val="20"/>
                <w:highlight w:val="none"/>
              </w:rPr>
            </w:pPr>
          </w:p>
        </w:tc>
      </w:tr>
      <w:tr w14:paraId="310A4A8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5200E4AD">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71A3320D">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left w:val="single" w:color="auto" w:sz="4" w:space="0"/>
              <w:bottom w:val="single" w:color="auto" w:sz="4" w:space="0"/>
              <w:right w:val="single" w:color="auto" w:sz="4" w:space="0"/>
            </w:tcBorders>
            <w:noWrap w:val="0"/>
            <w:vAlign w:val="center"/>
          </w:tcPr>
          <w:p w14:paraId="12C62BB9">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4529508">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自动监测设备完好率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D797F8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95</w:t>
            </w:r>
            <w:r>
              <w:rPr>
                <w:rFonts w:hint="eastAsia" w:ascii="仿宋_GB2312" w:hAnsi="仿宋_GB2312" w:eastAsia="仿宋_GB2312" w:cs="仿宋_GB2312"/>
                <w:color w:val="000000"/>
                <w:sz w:val="20"/>
                <w:szCs w:val="20"/>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A7CF4CD">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50468337">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highlight w:val="none"/>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7D74487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highlight w:val="none"/>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3780A02A">
            <w:pPr>
              <w:widowControl/>
              <w:spacing w:line="240" w:lineRule="exact"/>
              <w:jc w:val="left"/>
              <w:rPr>
                <w:rFonts w:hint="eastAsia" w:ascii="仿宋_GB2312" w:hAnsi="仿宋_GB2312" w:eastAsia="仿宋_GB2312" w:cs="仿宋_GB2312"/>
                <w:color w:val="000000"/>
                <w:sz w:val="20"/>
                <w:szCs w:val="20"/>
                <w:highlight w:val="none"/>
              </w:rPr>
            </w:pPr>
          </w:p>
        </w:tc>
      </w:tr>
      <w:tr w14:paraId="6307EF7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73810A6">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3A2C7658">
            <w:pPr>
              <w:spacing w:line="240" w:lineRule="exact"/>
              <w:jc w:val="left"/>
              <w:rPr>
                <w:rFonts w:hint="eastAsia" w:ascii="仿宋_GB2312" w:hAnsi="仿宋_GB2312" w:eastAsia="仿宋_GB2312" w:cs="仿宋_GB2312"/>
                <w:color w:val="000000"/>
                <w:sz w:val="20"/>
                <w:szCs w:val="20"/>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687E99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6C05FF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水、大气、土壤污染防治目标任务</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7D5B49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4年度</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0B8323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4年度</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73E58B9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E3909E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B46F85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7E852C">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017F2C11">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372ADFD5">
            <w:pPr>
              <w:spacing w:line="240" w:lineRule="exact"/>
              <w:jc w:val="left"/>
              <w:rPr>
                <w:rFonts w:hint="eastAsia" w:ascii="仿宋_GB2312" w:hAnsi="仿宋_GB2312" w:eastAsia="仿宋_GB2312" w:cs="仿宋_GB2312"/>
                <w:color w:val="000000"/>
                <w:sz w:val="20"/>
                <w:szCs w:val="20"/>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82084E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9FC424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支出控制在预算内</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445290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≤3259.92万元</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BFAFBA7">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3151万元</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10DC18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04BCB14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57D1531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EBE15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270217B6">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14:paraId="6E56EA3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AC883B4">
            <w:pPr>
              <w:widowControl/>
              <w:spacing w:line="240" w:lineRule="exact"/>
              <w:jc w:val="left"/>
              <w:rPr>
                <w:rFonts w:hint="eastAsia" w:ascii="仿宋_GB2312" w:hAnsi="仿宋_GB2312" w:eastAsia="仿宋_GB2312" w:cs="仿宋_GB2312"/>
                <w:color w:val="000000"/>
                <w:sz w:val="20"/>
                <w:szCs w:val="20"/>
                <w:highlight w:val="none"/>
              </w:rPr>
            </w:pPr>
          </w:p>
          <w:p w14:paraId="7BF59B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F0209C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9D0CB1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EC3867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5B8592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宋体" w:eastAsia="仿宋_GB2312" w:cs="仿宋_GB2312"/>
                <w:i w:val="0"/>
                <w:iCs w:val="0"/>
                <w:color w:val="000000"/>
                <w:kern w:val="0"/>
                <w:sz w:val="20"/>
                <w:szCs w:val="20"/>
                <w:u w:val="none"/>
                <w:lang w:val="en-US" w:eastAsia="zh-CN" w:bidi="ar"/>
              </w:rPr>
              <w:t>实现节能减排，减少环保治理经费</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05768A5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经济平稳发展</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1F0D60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平稳发展</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53D8714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C97485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E8A746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CC7289">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4B7E583">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D7677F9">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restart"/>
            <w:tcBorders>
              <w:top w:val="single" w:color="auto" w:sz="4" w:space="0"/>
              <w:left w:val="single" w:color="auto" w:sz="4" w:space="0"/>
              <w:right w:val="single" w:color="auto" w:sz="4" w:space="0"/>
            </w:tcBorders>
            <w:noWrap w:val="0"/>
            <w:vAlign w:val="center"/>
          </w:tcPr>
          <w:p w14:paraId="188518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4D0E28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F782B6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案件办结率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8E3260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90</w:t>
            </w:r>
            <w:r>
              <w:rPr>
                <w:rFonts w:hint="eastAsia" w:ascii="仿宋_GB2312" w:hAnsi="仿宋_GB2312" w:eastAsia="仿宋_GB2312" w:cs="仿宋_GB2312"/>
                <w:color w:val="000000"/>
                <w:sz w:val="20"/>
                <w:szCs w:val="20"/>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33C66E1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98.57%</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E0A981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4B74DF9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BCAA96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AF6624">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79E456C1">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7447004">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left w:val="single" w:color="auto" w:sz="4" w:space="0"/>
              <w:right w:val="single" w:color="auto" w:sz="4" w:space="0"/>
            </w:tcBorders>
            <w:noWrap w:val="0"/>
            <w:vAlign w:val="center"/>
          </w:tcPr>
          <w:p w14:paraId="3F4DE978">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391B61C">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信访处理率</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BF4C5A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r>
              <w:rPr>
                <w:rFonts w:hint="eastAsia" w:ascii="仿宋_GB2312" w:hAnsi="仿宋_GB2312" w:eastAsia="仿宋_GB2312" w:cs="仿宋_GB2312"/>
                <w:color w:val="000000"/>
                <w:sz w:val="20"/>
                <w:szCs w:val="20"/>
                <w:lang w:val="en-US" w:eastAsia="zh-CN"/>
              </w:rPr>
              <w:t>%</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79E1B7F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D1778E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5E66357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09A61D9">
            <w:pPr>
              <w:widowControl/>
              <w:spacing w:line="240" w:lineRule="exact"/>
              <w:jc w:val="left"/>
              <w:rPr>
                <w:rFonts w:hint="eastAsia" w:ascii="仿宋_GB2312" w:hAnsi="仿宋_GB2312" w:eastAsia="仿宋_GB2312" w:cs="仿宋_GB2312"/>
                <w:color w:val="000000"/>
                <w:sz w:val="20"/>
                <w:szCs w:val="20"/>
                <w:highlight w:val="none"/>
              </w:rPr>
            </w:pPr>
          </w:p>
        </w:tc>
      </w:tr>
      <w:tr w14:paraId="2AB737E3">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4DC4D5D5">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51904FB2">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restart"/>
            <w:tcBorders>
              <w:top w:val="single" w:color="auto" w:sz="4" w:space="0"/>
              <w:left w:val="single" w:color="auto" w:sz="4" w:space="0"/>
              <w:right w:val="single" w:color="auto" w:sz="4" w:space="0"/>
            </w:tcBorders>
            <w:noWrap w:val="0"/>
            <w:vAlign w:val="center"/>
          </w:tcPr>
          <w:p w14:paraId="0480365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930A8C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539FB0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PM2.5年平均浓度</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75F9F7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≤35ug/m3</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AAD856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32.86μg/m3</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38145E4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2707EFB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0C8685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C6A2BF">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14:paraId="66E147BC">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407B04A2">
            <w:pPr>
              <w:spacing w:line="240" w:lineRule="exact"/>
              <w:jc w:val="left"/>
              <w:rPr>
                <w:rFonts w:hint="eastAsia" w:ascii="仿宋_GB2312" w:hAnsi="仿宋_GB2312" w:eastAsia="仿宋_GB2312" w:cs="仿宋_GB2312"/>
                <w:color w:val="000000"/>
                <w:sz w:val="20"/>
                <w:szCs w:val="20"/>
                <w:highlight w:val="none"/>
              </w:rPr>
            </w:pPr>
          </w:p>
        </w:tc>
        <w:tc>
          <w:tcPr>
            <w:tcW w:w="1025" w:type="dxa"/>
            <w:vMerge w:val="continue"/>
            <w:tcBorders>
              <w:left w:val="single" w:color="auto" w:sz="4" w:space="0"/>
              <w:bottom w:val="single" w:color="auto" w:sz="4" w:space="0"/>
              <w:right w:val="single" w:color="auto" w:sz="4" w:space="0"/>
            </w:tcBorders>
            <w:noWrap w:val="0"/>
            <w:vAlign w:val="center"/>
          </w:tcPr>
          <w:p w14:paraId="300D58D7">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E77131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国控断面水</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7DA0D4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Ⅲ类</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50A5909">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Ⅲ类</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3959299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11C71E7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21BC829">
            <w:pPr>
              <w:widowControl/>
              <w:spacing w:line="240" w:lineRule="exact"/>
              <w:jc w:val="left"/>
              <w:rPr>
                <w:rFonts w:hint="eastAsia" w:ascii="仿宋_GB2312" w:hAnsi="仿宋_GB2312" w:eastAsia="仿宋_GB2312" w:cs="仿宋_GB2312"/>
                <w:color w:val="000000"/>
                <w:sz w:val="20"/>
                <w:szCs w:val="20"/>
                <w:highlight w:val="none"/>
              </w:rPr>
            </w:pPr>
          </w:p>
        </w:tc>
      </w:tr>
      <w:tr w14:paraId="63504DDB">
        <w:tblPrEx>
          <w:tblCellMar>
            <w:top w:w="0" w:type="dxa"/>
            <w:left w:w="108" w:type="dxa"/>
            <w:bottom w:w="0" w:type="dxa"/>
            <w:right w:w="108" w:type="dxa"/>
          </w:tblCellMar>
        </w:tblPrEx>
        <w:trPr>
          <w:trHeight w:val="290" w:hRule="atLeast"/>
          <w:jc w:val="center"/>
        </w:trPr>
        <w:tc>
          <w:tcPr>
            <w:tcW w:w="1074" w:type="dxa"/>
            <w:vMerge w:val="continue"/>
            <w:tcBorders>
              <w:left w:val="single" w:color="auto" w:sz="4" w:space="0"/>
              <w:right w:val="single" w:color="auto" w:sz="4" w:space="0"/>
            </w:tcBorders>
            <w:noWrap w:val="0"/>
            <w:vAlign w:val="center"/>
          </w:tcPr>
          <w:p w14:paraId="5BEC8955">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14:paraId="2898E1B6">
            <w:pPr>
              <w:widowControl/>
              <w:spacing w:line="240" w:lineRule="exact"/>
              <w:jc w:val="left"/>
              <w:rPr>
                <w:rFonts w:hint="eastAsia" w:ascii="仿宋_GB2312" w:hAnsi="仿宋_GB2312" w:eastAsia="仿宋_GB2312" w:cs="仿宋_GB2312"/>
                <w:color w:val="000000"/>
                <w:sz w:val="20"/>
                <w:szCs w:val="20"/>
                <w:highlight w:val="none"/>
              </w:rPr>
            </w:pPr>
          </w:p>
        </w:tc>
        <w:tc>
          <w:tcPr>
            <w:tcW w:w="1025" w:type="dxa"/>
            <w:tcBorders>
              <w:top w:val="single" w:color="auto" w:sz="4" w:space="0"/>
              <w:left w:val="single" w:color="auto" w:sz="4" w:space="0"/>
              <w:bottom w:val="single" w:color="auto" w:sz="4" w:space="0"/>
              <w:right w:val="single" w:color="auto" w:sz="4" w:space="0"/>
            </w:tcBorders>
            <w:noWrap w:val="0"/>
            <w:vAlign w:val="center"/>
          </w:tcPr>
          <w:p w14:paraId="23E3277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8C5546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常态化执行环境监察、监测任务</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592C32D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社会可持续发展良好</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68BDFE0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效益明显</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110973E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BFA867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08AF18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C2A4C9">
        <w:tblPrEx>
          <w:tblCellMar>
            <w:top w:w="0" w:type="dxa"/>
            <w:left w:w="108" w:type="dxa"/>
            <w:bottom w:w="0" w:type="dxa"/>
            <w:right w:w="108" w:type="dxa"/>
          </w:tblCellMar>
        </w:tblPrEx>
        <w:trPr>
          <w:trHeight w:val="330" w:hRule="atLeast"/>
          <w:jc w:val="center"/>
        </w:trPr>
        <w:tc>
          <w:tcPr>
            <w:tcW w:w="1074" w:type="dxa"/>
            <w:vMerge w:val="continue"/>
            <w:tcBorders>
              <w:left w:val="single" w:color="auto" w:sz="4" w:space="0"/>
              <w:right w:val="single" w:color="auto" w:sz="4" w:space="0"/>
            </w:tcBorders>
            <w:noWrap w:val="0"/>
            <w:vAlign w:val="center"/>
          </w:tcPr>
          <w:p w14:paraId="0A1B1055">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right w:val="single" w:color="auto" w:sz="4" w:space="0"/>
            </w:tcBorders>
            <w:noWrap w:val="0"/>
            <w:vAlign w:val="center"/>
          </w:tcPr>
          <w:p w14:paraId="72437FE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37CC21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73F17C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5" w:type="dxa"/>
            <w:vMerge w:val="restart"/>
            <w:tcBorders>
              <w:top w:val="single" w:color="auto" w:sz="4" w:space="0"/>
              <w:left w:val="single" w:color="auto" w:sz="4" w:space="0"/>
              <w:right w:val="single" w:color="auto" w:sz="4" w:space="0"/>
            </w:tcBorders>
            <w:noWrap w:val="0"/>
            <w:vAlign w:val="center"/>
          </w:tcPr>
          <w:p w14:paraId="2847DA9C">
            <w:pPr>
              <w:widowControl/>
              <w:tabs>
                <w:tab w:val="left" w:pos="536"/>
              </w:tabs>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服务对象满意度指标</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497F19F">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群众对环境质量改善的满意度</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F3C5002">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52656193">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96.67%</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075EC35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49D239B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AD50F3B">
            <w:pPr>
              <w:widowControl/>
              <w:spacing w:line="240" w:lineRule="exact"/>
              <w:jc w:val="left"/>
              <w:rPr>
                <w:rFonts w:hint="eastAsia" w:ascii="仿宋_GB2312" w:hAnsi="仿宋_GB2312" w:eastAsia="仿宋_GB2312" w:cs="仿宋_GB2312"/>
                <w:color w:val="000000"/>
                <w:sz w:val="20"/>
                <w:szCs w:val="20"/>
                <w:highlight w:val="none"/>
              </w:rPr>
            </w:pPr>
          </w:p>
        </w:tc>
      </w:tr>
      <w:tr w14:paraId="2620A29F">
        <w:tblPrEx>
          <w:tblCellMar>
            <w:top w:w="0" w:type="dxa"/>
            <w:left w:w="108" w:type="dxa"/>
            <w:bottom w:w="0" w:type="dxa"/>
            <w:right w:w="108" w:type="dxa"/>
          </w:tblCellMar>
        </w:tblPrEx>
        <w:trPr>
          <w:trHeight w:val="330" w:hRule="atLeast"/>
          <w:jc w:val="center"/>
        </w:trPr>
        <w:tc>
          <w:tcPr>
            <w:tcW w:w="1074" w:type="dxa"/>
            <w:vMerge w:val="continue"/>
            <w:tcBorders>
              <w:left w:val="single" w:color="auto" w:sz="4" w:space="0"/>
              <w:right w:val="single" w:color="auto" w:sz="4" w:space="0"/>
            </w:tcBorders>
            <w:noWrap w:val="0"/>
            <w:vAlign w:val="center"/>
          </w:tcPr>
          <w:p w14:paraId="4FF0CB0B">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14:paraId="7F34810D">
            <w:pPr>
              <w:widowControl/>
              <w:spacing w:line="240" w:lineRule="exact"/>
              <w:jc w:val="center"/>
              <w:rPr>
                <w:rFonts w:hint="eastAsia" w:ascii="仿宋_GB2312" w:hAnsi="仿宋_GB2312" w:eastAsia="仿宋_GB2312" w:cs="仿宋_GB2312"/>
                <w:color w:val="000000"/>
                <w:sz w:val="20"/>
                <w:szCs w:val="20"/>
                <w:highlight w:val="none"/>
              </w:rPr>
            </w:pPr>
          </w:p>
        </w:tc>
        <w:tc>
          <w:tcPr>
            <w:tcW w:w="1025" w:type="dxa"/>
            <w:vMerge w:val="continue"/>
            <w:tcBorders>
              <w:left w:val="single" w:color="auto" w:sz="4" w:space="0"/>
              <w:bottom w:val="single" w:color="auto" w:sz="4" w:space="0"/>
              <w:right w:val="single" w:color="auto" w:sz="4" w:space="0"/>
            </w:tcBorders>
            <w:noWrap w:val="0"/>
            <w:vAlign w:val="center"/>
          </w:tcPr>
          <w:p w14:paraId="48CED8A2">
            <w:pPr>
              <w:widowControl/>
              <w:spacing w:line="240" w:lineRule="exact"/>
              <w:jc w:val="center"/>
              <w:rPr>
                <w:rFonts w:hint="eastAsia" w:ascii="仿宋_GB2312" w:hAnsi="仿宋_GB2312" w:eastAsia="仿宋_GB2312" w:cs="仿宋_GB2312"/>
                <w:color w:val="000000"/>
                <w:sz w:val="20"/>
                <w:szCs w:val="20"/>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14:paraId="073EA38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企业满意度</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C688AD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≥95%</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2B2AB2A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w:t>
            </w:r>
            <w:r>
              <w:rPr>
                <w:rFonts w:hint="eastAsia" w:ascii="仿宋_GB2312" w:hAnsi="仿宋_GB2312" w:eastAsia="仿宋_GB2312" w:cs="仿宋_GB2312"/>
                <w:color w:val="000000"/>
                <w:sz w:val="20"/>
                <w:szCs w:val="20"/>
              </w:rPr>
              <w:t>6.67%</w:t>
            </w:r>
          </w:p>
        </w:tc>
        <w:tc>
          <w:tcPr>
            <w:tcW w:w="713" w:type="dxa"/>
            <w:tcBorders>
              <w:top w:val="single" w:color="auto" w:sz="4" w:space="0"/>
              <w:left w:val="single" w:color="auto" w:sz="4" w:space="0"/>
              <w:bottom w:val="single" w:color="auto" w:sz="4" w:space="0"/>
              <w:right w:val="single" w:color="auto" w:sz="4" w:space="0"/>
            </w:tcBorders>
            <w:noWrap w:val="0"/>
            <w:vAlign w:val="center"/>
          </w:tcPr>
          <w:p w14:paraId="25CCF3D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1AEE7CF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63EC83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25072E">
        <w:tblPrEx>
          <w:tblCellMar>
            <w:top w:w="0" w:type="dxa"/>
            <w:left w:w="108" w:type="dxa"/>
            <w:bottom w:w="0" w:type="dxa"/>
            <w:right w:w="108" w:type="dxa"/>
          </w:tblCellMar>
        </w:tblPrEx>
        <w:trPr>
          <w:trHeight w:val="270" w:hRule="atLeast"/>
          <w:jc w:val="center"/>
        </w:trPr>
        <w:tc>
          <w:tcPr>
            <w:tcW w:w="7060" w:type="dxa"/>
            <w:gridSpan w:val="6"/>
            <w:tcBorders>
              <w:top w:val="single" w:color="auto" w:sz="4" w:space="0"/>
              <w:left w:val="single" w:color="auto" w:sz="4" w:space="0"/>
              <w:bottom w:val="single" w:color="auto" w:sz="4" w:space="0"/>
              <w:right w:val="single" w:color="000000" w:sz="4" w:space="0"/>
            </w:tcBorders>
            <w:noWrap w:val="0"/>
            <w:vAlign w:val="center"/>
          </w:tcPr>
          <w:p w14:paraId="4EA969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3" w:type="dxa"/>
            <w:tcBorders>
              <w:top w:val="nil"/>
              <w:left w:val="nil"/>
              <w:bottom w:val="single" w:color="auto" w:sz="4" w:space="0"/>
              <w:right w:val="single" w:color="auto" w:sz="4" w:space="0"/>
            </w:tcBorders>
            <w:noWrap w:val="0"/>
            <w:vAlign w:val="center"/>
          </w:tcPr>
          <w:p w14:paraId="135C3F9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2" w:type="dxa"/>
            <w:tcBorders>
              <w:top w:val="nil"/>
              <w:left w:val="nil"/>
              <w:bottom w:val="single" w:color="auto" w:sz="4" w:space="0"/>
              <w:right w:val="single" w:color="auto" w:sz="4" w:space="0"/>
            </w:tcBorders>
            <w:noWrap w:val="0"/>
            <w:vAlign w:val="center"/>
          </w:tcPr>
          <w:p w14:paraId="18627016">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98.96</w:t>
            </w:r>
          </w:p>
        </w:tc>
        <w:tc>
          <w:tcPr>
            <w:tcW w:w="1434" w:type="dxa"/>
            <w:tcBorders>
              <w:top w:val="nil"/>
              <w:left w:val="nil"/>
              <w:bottom w:val="single" w:color="auto" w:sz="4" w:space="0"/>
              <w:right w:val="single" w:color="auto" w:sz="4" w:space="0"/>
            </w:tcBorders>
            <w:noWrap w:val="0"/>
            <w:vAlign w:val="center"/>
          </w:tcPr>
          <w:p w14:paraId="1DB8229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D2C6EBF">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4724C2D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0E157E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ED424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96B41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251FA7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环境监察、监测运行经费</w:t>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highlight w:val="none"/>
              </w:rPr>
              <w:t>　</w:t>
            </w:r>
          </w:p>
        </w:tc>
      </w:tr>
      <w:tr w14:paraId="4E2C1AB7">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2A76B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52DF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411AE0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6196F0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rPr>
              <w:t>岳阳市生态环境局岳阳县分局</w:t>
            </w:r>
            <w:r>
              <w:rPr>
                <w:rFonts w:hint="eastAsia" w:ascii="仿宋_GB2312" w:hAnsi="仿宋_GB2312" w:eastAsia="仿宋_GB2312" w:cs="仿宋_GB2312"/>
                <w:color w:val="000000"/>
                <w:sz w:val="20"/>
                <w:szCs w:val="20"/>
                <w:highlight w:val="none"/>
              </w:rPr>
              <w:t>　</w:t>
            </w:r>
          </w:p>
        </w:tc>
      </w:tr>
      <w:tr w14:paraId="2E56DBE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F8B22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F67A2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7C7C1D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15B5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E5E4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EB489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D98F7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B6375D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2C88E2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97638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5C96C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CDB627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BAEDC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038F4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E75F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highlight w:val="none"/>
                <w:lang w:val="en-US" w:eastAsia="zh-CN" w:bidi="ar-SA"/>
              </w:rPr>
              <w:t>46.61</w:t>
            </w:r>
          </w:p>
        </w:tc>
        <w:tc>
          <w:tcPr>
            <w:tcW w:w="1134" w:type="dxa"/>
            <w:tcBorders>
              <w:top w:val="nil"/>
              <w:left w:val="nil"/>
              <w:bottom w:val="single" w:color="auto" w:sz="4" w:space="0"/>
              <w:right w:val="single" w:color="auto" w:sz="4" w:space="0"/>
            </w:tcBorders>
            <w:noWrap w:val="0"/>
            <w:vAlign w:val="center"/>
          </w:tcPr>
          <w:p w14:paraId="6A60D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69.86</w:t>
            </w:r>
          </w:p>
        </w:tc>
        <w:tc>
          <w:tcPr>
            <w:tcW w:w="1134" w:type="dxa"/>
            <w:tcBorders>
              <w:top w:val="nil"/>
              <w:left w:val="nil"/>
              <w:bottom w:val="single" w:color="auto" w:sz="4" w:space="0"/>
              <w:right w:val="single" w:color="auto" w:sz="4" w:space="0"/>
            </w:tcBorders>
            <w:noWrap w:val="0"/>
            <w:vAlign w:val="center"/>
          </w:tcPr>
          <w:p w14:paraId="3F2D2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69.86</w:t>
            </w:r>
          </w:p>
        </w:tc>
        <w:tc>
          <w:tcPr>
            <w:tcW w:w="828" w:type="dxa"/>
            <w:tcBorders>
              <w:top w:val="nil"/>
              <w:left w:val="nil"/>
              <w:bottom w:val="single" w:color="auto" w:sz="4" w:space="0"/>
              <w:right w:val="single" w:color="auto" w:sz="4" w:space="0"/>
            </w:tcBorders>
            <w:noWrap w:val="0"/>
            <w:vAlign w:val="center"/>
          </w:tcPr>
          <w:p w14:paraId="315DF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14:paraId="5CE1E5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651A8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C5DD5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817E6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F238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2F375D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46.61</w:t>
            </w:r>
          </w:p>
        </w:tc>
        <w:tc>
          <w:tcPr>
            <w:tcW w:w="1134" w:type="dxa"/>
            <w:tcBorders>
              <w:top w:val="nil"/>
              <w:left w:val="nil"/>
              <w:bottom w:val="single" w:color="auto" w:sz="4" w:space="0"/>
              <w:right w:val="single" w:color="auto" w:sz="4" w:space="0"/>
            </w:tcBorders>
            <w:noWrap w:val="0"/>
            <w:vAlign w:val="center"/>
          </w:tcPr>
          <w:p w14:paraId="13D8E6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69.86</w:t>
            </w:r>
          </w:p>
        </w:tc>
        <w:tc>
          <w:tcPr>
            <w:tcW w:w="1134" w:type="dxa"/>
            <w:tcBorders>
              <w:top w:val="nil"/>
              <w:left w:val="nil"/>
              <w:bottom w:val="single" w:color="auto" w:sz="4" w:space="0"/>
              <w:right w:val="single" w:color="auto" w:sz="4" w:space="0"/>
            </w:tcBorders>
            <w:noWrap w:val="0"/>
            <w:vAlign w:val="center"/>
          </w:tcPr>
          <w:p w14:paraId="570DA8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69.86</w:t>
            </w:r>
          </w:p>
        </w:tc>
        <w:tc>
          <w:tcPr>
            <w:tcW w:w="828" w:type="dxa"/>
            <w:tcBorders>
              <w:top w:val="nil"/>
              <w:left w:val="nil"/>
              <w:bottom w:val="single" w:color="auto" w:sz="4" w:space="0"/>
              <w:right w:val="single" w:color="auto" w:sz="4" w:space="0"/>
            </w:tcBorders>
            <w:noWrap w:val="0"/>
            <w:vAlign w:val="center"/>
          </w:tcPr>
          <w:p w14:paraId="6F7FAB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B0410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1DE1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1050E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B137B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AF5081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D403C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7E061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4ACE4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11F2CE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2D5F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E6A7D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4394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D5F9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6FF17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36BB05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8C2D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64B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B2AFA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39A17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645C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057AA4">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D5B96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6B5D9C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6A07F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6EBC15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CB70E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7FC14B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承担落实全县减排目标责任，对全县环境保护工作实施统一监管，开展环境监测、环境监察、污染防治、核与辐射监管，以及生态保护和建设等工作。</w:t>
            </w:r>
          </w:p>
        </w:tc>
        <w:tc>
          <w:tcPr>
            <w:tcW w:w="4253" w:type="dxa"/>
            <w:gridSpan w:val="4"/>
            <w:tcBorders>
              <w:top w:val="single" w:color="auto" w:sz="4" w:space="0"/>
              <w:left w:val="nil"/>
              <w:bottom w:val="single" w:color="auto" w:sz="4" w:space="0"/>
              <w:right w:val="single" w:color="auto" w:sz="4" w:space="0"/>
            </w:tcBorders>
            <w:noWrap w:val="0"/>
            <w:vAlign w:val="center"/>
          </w:tcPr>
          <w:p w14:paraId="55866B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已完成预期目标</w:t>
            </w:r>
          </w:p>
        </w:tc>
      </w:tr>
      <w:tr w14:paraId="61D68FC3">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0B8E51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E2AE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557CA7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3B222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28BB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57946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31D8A548">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14:paraId="7A85A3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18F6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61819F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91796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72328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E3D1E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2315595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A4494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6022D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single" w:color="auto" w:sz="4" w:space="0"/>
              <w:right w:val="single" w:color="auto" w:sz="4" w:space="0"/>
            </w:tcBorders>
            <w:noWrap w:val="0"/>
            <w:vAlign w:val="center"/>
          </w:tcPr>
          <w:p w14:paraId="5C658C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97F8A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D0757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67828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506CF3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办理生态环境类执法案件</w:t>
            </w:r>
          </w:p>
        </w:tc>
        <w:tc>
          <w:tcPr>
            <w:tcW w:w="1134" w:type="dxa"/>
            <w:tcBorders>
              <w:top w:val="nil"/>
              <w:left w:val="nil"/>
              <w:bottom w:val="single" w:color="auto" w:sz="4" w:space="0"/>
              <w:right w:val="single" w:color="auto" w:sz="4" w:space="0"/>
            </w:tcBorders>
            <w:noWrap w:val="0"/>
            <w:vAlign w:val="center"/>
          </w:tcPr>
          <w:p w14:paraId="377134BB">
            <w:pPr>
              <w:widowControl/>
              <w:spacing w:line="240" w:lineRule="exact"/>
              <w:jc w:val="center"/>
              <w:rPr>
                <w:rFonts w:hint="eastAsia" w:ascii="仿宋_GB2312" w:hAnsi="仿宋_GB2312" w:eastAsia="微软雅黑"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r>
              <w:rPr>
                <w:rFonts w:hint="eastAsia" w:ascii="仿宋_GB2312" w:hAnsi="仿宋_GB2312" w:eastAsia="仿宋_GB2312" w:cs="仿宋_GB2312"/>
                <w:color w:val="000000"/>
                <w:sz w:val="20"/>
                <w:szCs w:val="20"/>
              </w:rPr>
              <w:t>次</w:t>
            </w:r>
          </w:p>
        </w:tc>
        <w:tc>
          <w:tcPr>
            <w:tcW w:w="1134" w:type="dxa"/>
            <w:tcBorders>
              <w:top w:val="nil"/>
              <w:left w:val="nil"/>
              <w:bottom w:val="single" w:color="auto" w:sz="4" w:space="0"/>
              <w:right w:val="single" w:color="auto" w:sz="4" w:space="0"/>
            </w:tcBorders>
            <w:noWrap w:val="0"/>
            <w:vAlign w:val="center"/>
          </w:tcPr>
          <w:p w14:paraId="159CB59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超额完成</w:t>
            </w:r>
          </w:p>
        </w:tc>
        <w:tc>
          <w:tcPr>
            <w:tcW w:w="828" w:type="dxa"/>
            <w:tcBorders>
              <w:top w:val="nil"/>
              <w:left w:val="nil"/>
              <w:bottom w:val="single" w:color="auto" w:sz="4" w:space="0"/>
              <w:right w:val="single" w:color="auto" w:sz="4" w:space="0"/>
            </w:tcBorders>
            <w:noWrap w:val="0"/>
            <w:vAlign w:val="center"/>
          </w:tcPr>
          <w:p w14:paraId="004F931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14:paraId="7FBB98CF">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bookmarkStart w:id="0" w:name="_GoBack"/>
            <w:bookmarkEnd w:id="0"/>
          </w:p>
        </w:tc>
        <w:tc>
          <w:tcPr>
            <w:tcW w:w="1418" w:type="dxa"/>
            <w:tcBorders>
              <w:top w:val="nil"/>
              <w:left w:val="nil"/>
              <w:bottom w:val="single" w:color="auto" w:sz="4" w:space="0"/>
              <w:right w:val="single" w:color="auto" w:sz="4" w:space="0"/>
            </w:tcBorders>
            <w:noWrap w:val="0"/>
            <w:vAlign w:val="center"/>
          </w:tcPr>
          <w:p w14:paraId="127F2880">
            <w:pPr>
              <w:widowControl/>
              <w:spacing w:line="240" w:lineRule="exact"/>
              <w:jc w:val="center"/>
              <w:rPr>
                <w:rFonts w:hint="eastAsia" w:ascii="仿宋_GB2312" w:hAnsi="仿宋_GB2312" w:eastAsia="仿宋_GB2312" w:cs="仿宋_GB2312"/>
                <w:color w:val="000000"/>
                <w:sz w:val="20"/>
                <w:szCs w:val="20"/>
                <w:highlight w:val="none"/>
              </w:rPr>
            </w:pPr>
          </w:p>
        </w:tc>
      </w:tr>
      <w:tr w14:paraId="4B2089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ECCE6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C11C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6200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2D272C0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全县环境质量达标</w:t>
            </w:r>
          </w:p>
        </w:tc>
        <w:tc>
          <w:tcPr>
            <w:tcW w:w="1134" w:type="dxa"/>
            <w:tcBorders>
              <w:top w:val="nil"/>
              <w:left w:val="nil"/>
              <w:bottom w:val="single" w:color="auto" w:sz="4" w:space="0"/>
              <w:right w:val="single" w:color="auto" w:sz="4" w:space="0"/>
            </w:tcBorders>
            <w:noWrap w:val="0"/>
            <w:vAlign w:val="center"/>
          </w:tcPr>
          <w:p w14:paraId="5273125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≥90%</w:t>
            </w:r>
          </w:p>
        </w:tc>
        <w:tc>
          <w:tcPr>
            <w:tcW w:w="1134" w:type="dxa"/>
            <w:tcBorders>
              <w:top w:val="nil"/>
              <w:left w:val="nil"/>
              <w:bottom w:val="single" w:color="auto" w:sz="4" w:space="0"/>
              <w:right w:val="single" w:color="auto" w:sz="4" w:space="0"/>
            </w:tcBorders>
            <w:noWrap w:val="0"/>
            <w:vAlign w:val="center"/>
          </w:tcPr>
          <w:p w14:paraId="503ACED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14:paraId="509ABCD6">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14:paraId="1E13599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18" w:type="dxa"/>
            <w:tcBorders>
              <w:top w:val="nil"/>
              <w:left w:val="nil"/>
              <w:bottom w:val="single" w:color="auto" w:sz="4" w:space="0"/>
              <w:right w:val="single" w:color="auto" w:sz="4" w:space="0"/>
            </w:tcBorders>
            <w:noWrap w:val="0"/>
            <w:vAlign w:val="center"/>
          </w:tcPr>
          <w:p w14:paraId="5F6C26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475B8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BEEE6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220F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9A7C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101109C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按时完成各项指标任务</w:t>
            </w:r>
          </w:p>
        </w:tc>
        <w:tc>
          <w:tcPr>
            <w:tcW w:w="1134" w:type="dxa"/>
            <w:tcBorders>
              <w:top w:val="nil"/>
              <w:left w:val="nil"/>
              <w:bottom w:val="single" w:color="auto" w:sz="4" w:space="0"/>
              <w:right w:val="single" w:color="auto" w:sz="4" w:space="0"/>
            </w:tcBorders>
            <w:noWrap w:val="0"/>
            <w:vAlign w:val="center"/>
          </w:tcPr>
          <w:p w14:paraId="283FB33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年年底</w:t>
            </w:r>
          </w:p>
        </w:tc>
        <w:tc>
          <w:tcPr>
            <w:tcW w:w="1134" w:type="dxa"/>
            <w:tcBorders>
              <w:top w:val="nil"/>
              <w:left w:val="nil"/>
              <w:bottom w:val="single" w:color="auto" w:sz="4" w:space="0"/>
              <w:right w:val="single" w:color="auto" w:sz="4" w:space="0"/>
            </w:tcBorders>
            <w:noWrap w:val="0"/>
            <w:vAlign w:val="center"/>
          </w:tcPr>
          <w:p w14:paraId="6E8A2D3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年年底</w:t>
            </w:r>
          </w:p>
        </w:tc>
        <w:tc>
          <w:tcPr>
            <w:tcW w:w="828" w:type="dxa"/>
            <w:tcBorders>
              <w:top w:val="nil"/>
              <w:left w:val="nil"/>
              <w:bottom w:val="single" w:color="auto" w:sz="4" w:space="0"/>
              <w:right w:val="single" w:color="auto" w:sz="4" w:space="0"/>
            </w:tcBorders>
            <w:noWrap w:val="0"/>
            <w:vAlign w:val="center"/>
          </w:tcPr>
          <w:p w14:paraId="7149BC2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lang w:val="en-US" w:eastAsia="zh-CN"/>
              </w:rPr>
              <w:t>0</w:t>
            </w:r>
          </w:p>
        </w:tc>
        <w:tc>
          <w:tcPr>
            <w:tcW w:w="873" w:type="dxa"/>
            <w:tcBorders>
              <w:top w:val="nil"/>
              <w:left w:val="nil"/>
              <w:bottom w:val="single" w:color="auto" w:sz="4" w:space="0"/>
              <w:right w:val="single" w:color="auto" w:sz="4" w:space="0"/>
            </w:tcBorders>
            <w:noWrap w:val="0"/>
            <w:vAlign w:val="center"/>
          </w:tcPr>
          <w:p w14:paraId="0A224CEB">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w:t>
            </w:r>
            <w:r>
              <w:rPr>
                <w:rFonts w:hint="eastAsia" w:ascii="仿宋_GB2312" w:hAnsi="仿宋_GB2312" w:eastAsia="仿宋_GB2312" w:cs="仿宋_GB2312"/>
                <w:color w:val="000000"/>
                <w:sz w:val="20"/>
                <w:szCs w:val="20"/>
                <w:lang w:val="en-US" w:eastAsia="zh-CN"/>
              </w:rPr>
              <w:t>0</w:t>
            </w:r>
          </w:p>
        </w:tc>
        <w:tc>
          <w:tcPr>
            <w:tcW w:w="1418" w:type="dxa"/>
            <w:tcBorders>
              <w:top w:val="nil"/>
              <w:left w:val="nil"/>
              <w:bottom w:val="single" w:color="auto" w:sz="4" w:space="0"/>
              <w:right w:val="single" w:color="auto" w:sz="4" w:space="0"/>
            </w:tcBorders>
            <w:noWrap w:val="0"/>
            <w:vAlign w:val="center"/>
          </w:tcPr>
          <w:p w14:paraId="05D43C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FEBB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D43653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BC12DD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3EB5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7A7DE17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支出控制在预算内</w:t>
            </w:r>
          </w:p>
        </w:tc>
        <w:tc>
          <w:tcPr>
            <w:tcW w:w="1134" w:type="dxa"/>
            <w:tcBorders>
              <w:top w:val="nil"/>
              <w:left w:val="nil"/>
              <w:bottom w:val="single" w:color="auto" w:sz="4" w:space="0"/>
              <w:right w:val="single" w:color="auto" w:sz="4" w:space="0"/>
            </w:tcBorders>
            <w:noWrap w:val="0"/>
            <w:vAlign w:val="center"/>
          </w:tcPr>
          <w:p w14:paraId="05AAC3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69.86</w:t>
            </w:r>
            <w:r>
              <w:rPr>
                <w:rFonts w:hint="eastAsia" w:ascii="仿宋_GB2312" w:hAnsi="仿宋_GB2312" w:eastAsia="仿宋_GB2312" w:cs="仿宋_GB2312"/>
                <w:color w:val="000000"/>
                <w:sz w:val="20"/>
                <w:szCs w:val="20"/>
              </w:rPr>
              <w:t>万</w:t>
            </w:r>
          </w:p>
        </w:tc>
        <w:tc>
          <w:tcPr>
            <w:tcW w:w="1134" w:type="dxa"/>
            <w:tcBorders>
              <w:top w:val="nil"/>
              <w:left w:val="nil"/>
              <w:bottom w:val="single" w:color="auto" w:sz="4" w:space="0"/>
              <w:right w:val="single" w:color="auto" w:sz="4" w:space="0"/>
            </w:tcBorders>
            <w:noWrap w:val="0"/>
            <w:vAlign w:val="center"/>
          </w:tcPr>
          <w:p w14:paraId="46AA33C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69.86</w:t>
            </w:r>
            <w:r>
              <w:rPr>
                <w:rFonts w:hint="eastAsia" w:ascii="仿宋_GB2312" w:hAnsi="仿宋_GB2312" w:eastAsia="仿宋_GB2312" w:cs="仿宋_GB2312"/>
                <w:color w:val="000000"/>
                <w:sz w:val="20"/>
                <w:szCs w:val="20"/>
              </w:rPr>
              <w:t>万</w:t>
            </w:r>
          </w:p>
        </w:tc>
        <w:tc>
          <w:tcPr>
            <w:tcW w:w="828" w:type="dxa"/>
            <w:tcBorders>
              <w:top w:val="nil"/>
              <w:left w:val="nil"/>
              <w:bottom w:val="single" w:color="auto" w:sz="4" w:space="0"/>
              <w:right w:val="single" w:color="auto" w:sz="4" w:space="0"/>
            </w:tcBorders>
            <w:noWrap w:val="0"/>
            <w:vAlign w:val="center"/>
          </w:tcPr>
          <w:p w14:paraId="27A313C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5ECA8C9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noWrap w:val="0"/>
            <w:vAlign w:val="center"/>
          </w:tcPr>
          <w:p w14:paraId="0B0D65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78CED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13315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487F5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294C4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235FC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8245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00DE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C88CB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BA5C56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企业减排增效，实现经济可持续发展</w:t>
            </w:r>
          </w:p>
        </w:tc>
        <w:tc>
          <w:tcPr>
            <w:tcW w:w="1134" w:type="dxa"/>
            <w:tcBorders>
              <w:top w:val="nil"/>
              <w:left w:val="nil"/>
              <w:bottom w:val="single" w:color="auto" w:sz="4" w:space="0"/>
              <w:right w:val="single" w:color="auto" w:sz="4" w:space="0"/>
            </w:tcBorders>
            <w:noWrap w:val="0"/>
            <w:vAlign w:val="center"/>
          </w:tcPr>
          <w:p w14:paraId="560477A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经济平稳发展</w:t>
            </w:r>
          </w:p>
        </w:tc>
        <w:tc>
          <w:tcPr>
            <w:tcW w:w="1134" w:type="dxa"/>
            <w:tcBorders>
              <w:top w:val="nil"/>
              <w:left w:val="nil"/>
              <w:bottom w:val="single" w:color="auto" w:sz="4" w:space="0"/>
              <w:right w:val="single" w:color="auto" w:sz="4" w:space="0"/>
            </w:tcBorders>
            <w:noWrap w:val="0"/>
            <w:vAlign w:val="center"/>
          </w:tcPr>
          <w:p w14:paraId="39EABE9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平稳发展</w:t>
            </w:r>
          </w:p>
        </w:tc>
        <w:tc>
          <w:tcPr>
            <w:tcW w:w="828" w:type="dxa"/>
            <w:tcBorders>
              <w:top w:val="nil"/>
              <w:left w:val="nil"/>
              <w:bottom w:val="single" w:color="auto" w:sz="4" w:space="0"/>
              <w:right w:val="single" w:color="auto" w:sz="4" w:space="0"/>
            </w:tcBorders>
            <w:noWrap w:val="0"/>
            <w:vAlign w:val="center"/>
          </w:tcPr>
          <w:p w14:paraId="038C0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BBE8A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7BFC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ADB0F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9F766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14:paraId="697CF0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BA9B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DF9A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F2C245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群众生活状况改善情况</w:t>
            </w:r>
          </w:p>
        </w:tc>
        <w:tc>
          <w:tcPr>
            <w:tcW w:w="1134" w:type="dxa"/>
            <w:tcBorders>
              <w:top w:val="nil"/>
              <w:left w:val="nil"/>
              <w:bottom w:val="single" w:color="auto" w:sz="4" w:space="0"/>
              <w:right w:val="single" w:color="auto" w:sz="4" w:space="0"/>
            </w:tcBorders>
            <w:noWrap w:val="0"/>
            <w:vAlign w:val="center"/>
          </w:tcPr>
          <w:p w14:paraId="1406C02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有所提升</w:t>
            </w:r>
          </w:p>
        </w:tc>
        <w:tc>
          <w:tcPr>
            <w:tcW w:w="1134" w:type="dxa"/>
            <w:tcBorders>
              <w:top w:val="nil"/>
              <w:left w:val="nil"/>
              <w:bottom w:val="single" w:color="auto" w:sz="4" w:space="0"/>
              <w:right w:val="single" w:color="auto" w:sz="4" w:space="0"/>
            </w:tcBorders>
            <w:noWrap w:val="0"/>
            <w:vAlign w:val="center"/>
          </w:tcPr>
          <w:p w14:paraId="682E409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有所提升</w:t>
            </w:r>
          </w:p>
        </w:tc>
        <w:tc>
          <w:tcPr>
            <w:tcW w:w="828" w:type="dxa"/>
            <w:tcBorders>
              <w:top w:val="nil"/>
              <w:left w:val="nil"/>
              <w:bottom w:val="single" w:color="auto" w:sz="4" w:space="0"/>
              <w:right w:val="single" w:color="auto" w:sz="4" w:space="0"/>
            </w:tcBorders>
            <w:noWrap w:val="0"/>
            <w:vAlign w:val="center"/>
          </w:tcPr>
          <w:p w14:paraId="4174EC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EFE69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8565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C86A8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53A64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BF8C6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DE57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8988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D5E98E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空气质量得以改善</w:t>
            </w:r>
          </w:p>
        </w:tc>
        <w:tc>
          <w:tcPr>
            <w:tcW w:w="1134" w:type="dxa"/>
            <w:tcBorders>
              <w:top w:val="nil"/>
              <w:left w:val="nil"/>
              <w:bottom w:val="single" w:color="auto" w:sz="4" w:space="0"/>
              <w:right w:val="single" w:color="auto" w:sz="4" w:space="0"/>
            </w:tcBorders>
            <w:noWrap w:val="0"/>
            <w:vAlign w:val="center"/>
          </w:tcPr>
          <w:p w14:paraId="6446664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有所改善</w:t>
            </w:r>
          </w:p>
        </w:tc>
        <w:tc>
          <w:tcPr>
            <w:tcW w:w="1134" w:type="dxa"/>
            <w:tcBorders>
              <w:top w:val="nil"/>
              <w:left w:val="nil"/>
              <w:bottom w:val="single" w:color="auto" w:sz="4" w:space="0"/>
              <w:right w:val="single" w:color="auto" w:sz="4" w:space="0"/>
            </w:tcBorders>
            <w:noWrap w:val="0"/>
            <w:vAlign w:val="center"/>
          </w:tcPr>
          <w:p w14:paraId="0278C05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有所改善</w:t>
            </w:r>
          </w:p>
        </w:tc>
        <w:tc>
          <w:tcPr>
            <w:tcW w:w="828" w:type="dxa"/>
            <w:tcBorders>
              <w:top w:val="nil"/>
              <w:left w:val="nil"/>
              <w:bottom w:val="single" w:color="auto" w:sz="4" w:space="0"/>
              <w:right w:val="single" w:color="auto" w:sz="4" w:space="0"/>
            </w:tcBorders>
            <w:noWrap w:val="0"/>
            <w:vAlign w:val="center"/>
          </w:tcPr>
          <w:p w14:paraId="2304C5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155BB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088BF3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1BC2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20D4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4533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976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63E98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可持续发展情况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7BABE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社会可持续发展良好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5DFC2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效益明显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D13A5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21A3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6DC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7C115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6656C1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AF93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BD6CF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B691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6FEA0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729058C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岳阳县全体人民群众</w:t>
            </w:r>
          </w:p>
        </w:tc>
        <w:tc>
          <w:tcPr>
            <w:tcW w:w="1134" w:type="dxa"/>
            <w:tcBorders>
              <w:top w:val="nil"/>
              <w:left w:val="nil"/>
              <w:bottom w:val="single" w:color="auto" w:sz="4" w:space="0"/>
              <w:right w:val="single" w:color="auto" w:sz="4" w:space="0"/>
            </w:tcBorders>
            <w:noWrap w:val="0"/>
            <w:vAlign w:val="center"/>
          </w:tcPr>
          <w:p w14:paraId="06FC81E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≥95%</w:t>
            </w:r>
          </w:p>
        </w:tc>
        <w:tc>
          <w:tcPr>
            <w:tcW w:w="1134" w:type="dxa"/>
            <w:tcBorders>
              <w:top w:val="nil"/>
              <w:left w:val="nil"/>
              <w:bottom w:val="single" w:color="auto" w:sz="4" w:space="0"/>
              <w:right w:val="single" w:color="auto" w:sz="4" w:space="0"/>
            </w:tcBorders>
            <w:noWrap w:val="0"/>
            <w:vAlign w:val="center"/>
          </w:tcPr>
          <w:p w14:paraId="61BA27F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96.67%</w:t>
            </w:r>
          </w:p>
        </w:tc>
        <w:tc>
          <w:tcPr>
            <w:tcW w:w="828" w:type="dxa"/>
            <w:tcBorders>
              <w:top w:val="nil"/>
              <w:left w:val="nil"/>
              <w:bottom w:val="single" w:color="auto" w:sz="4" w:space="0"/>
              <w:right w:val="single" w:color="auto" w:sz="4" w:space="0"/>
            </w:tcBorders>
            <w:noWrap w:val="0"/>
            <w:vAlign w:val="center"/>
          </w:tcPr>
          <w:p w14:paraId="07D9313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14:paraId="49EEC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1E14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1C32F1">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02CED3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944E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758DD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270A16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C67BA86">
      <w:pPr>
        <w:rPr>
          <w:rFonts w:hint="default" w:ascii="Times New Roman" w:hAnsi="Times New Roman" w:eastAsia="仿宋_GB2312" w:cs="Times New Roman"/>
          <w:sz w:val="18"/>
          <w:szCs w:val="18"/>
          <w:highlight w:val="none"/>
        </w:rPr>
      </w:pPr>
    </w:p>
    <w:p w14:paraId="1454D4A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5B52934">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4BB4379D">
      <w:pPr>
        <w:jc w:val="center"/>
        <w:rPr>
          <w:rFonts w:hint="default" w:ascii="Times New Roman" w:hAnsi="Times New Roman" w:eastAsia="方正小标宋_GBK" w:cs="Times New Roman"/>
          <w:sz w:val="52"/>
          <w:szCs w:val="52"/>
          <w:highlight w:val="none"/>
        </w:rPr>
      </w:pPr>
    </w:p>
    <w:p w14:paraId="7155E7F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年度岳阳市生态环境局岳阳县分局</w:t>
      </w:r>
    </w:p>
    <w:p w14:paraId="2FD361C6">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729E1D07">
      <w:pPr>
        <w:jc w:val="center"/>
        <w:rPr>
          <w:rFonts w:hint="default" w:ascii="Times New Roman" w:hAnsi="Times New Roman" w:eastAsia="方正小标宋_GBK" w:cs="Times New Roman"/>
          <w:b/>
          <w:sz w:val="52"/>
          <w:szCs w:val="52"/>
          <w:highlight w:val="none"/>
        </w:rPr>
      </w:pPr>
    </w:p>
    <w:p w14:paraId="7344D13F">
      <w:pPr>
        <w:jc w:val="center"/>
        <w:rPr>
          <w:rFonts w:hint="default" w:ascii="Times New Roman" w:hAnsi="Times New Roman" w:eastAsia="楷体_GB2312" w:cs="Times New Roman"/>
          <w:b/>
          <w:sz w:val="32"/>
          <w:szCs w:val="32"/>
          <w:highlight w:val="none"/>
        </w:rPr>
      </w:pPr>
    </w:p>
    <w:p w14:paraId="12794237">
      <w:pPr>
        <w:jc w:val="center"/>
        <w:rPr>
          <w:rFonts w:hint="default" w:ascii="Times New Roman" w:hAnsi="Times New Roman" w:eastAsia="楷体_GB2312" w:cs="Times New Roman"/>
          <w:b/>
          <w:sz w:val="32"/>
          <w:szCs w:val="32"/>
          <w:highlight w:val="none"/>
        </w:rPr>
      </w:pPr>
    </w:p>
    <w:p w14:paraId="7758A347">
      <w:pPr>
        <w:jc w:val="center"/>
        <w:rPr>
          <w:rFonts w:hint="default" w:ascii="Times New Roman" w:hAnsi="Times New Roman" w:eastAsia="楷体_GB2312" w:cs="Times New Roman"/>
          <w:b/>
          <w:sz w:val="32"/>
          <w:szCs w:val="32"/>
          <w:highlight w:val="none"/>
        </w:rPr>
      </w:pPr>
    </w:p>
    <w:p w14:paraId="787C8ABB">
      <w:pPr>
        <w:jc w:val="center"/>
        <w:rPr>
          <w:rFonts w:hint="default" w:ascii="Times New Roman" w:hAnsi="Times New Roman" w:eastAsia="楷体_GB2312" w:cs="Times New Roman"/>
          <w:b/>
          <w:sz w:val="32"/>
          <w:szCs w:val="32"/>
          <w:highlight w:val="none"/>
        </w:rPr>
      </w:pPr>
    </w:p>
    <w:p w14:paraId="5BE1F5C3">
      <w:pPr>
        <w:jc w:val="center"/>
        <w:rPr>
          <w:rFonts w:hint="default" w:ascii="Times New Roman" w:hAnsi="Times New Roman" w:eastAsia="楷体_GB2312" w:cs="Times New Roman"/>
          <w:b/>
          <w:sz w:val="32"/>
          <w:szCs w:val="32"/>
          <w:highlight w:val="none"/>
        </w:rPr>
      </w:pPr>
    </w:p>
    <w:p w14:paraId="3F2C68C0">
      <w:pPr>
        <w:jc w:val="center"/>
        <w:rPr>
          <w:rFonts w:hint="default" w:ascii="Times New Roman" w:hAnsi="Times New Roman" w:eastAsia="楷体_GB2312" w:cs="Times New Roman"/>
          <w:b/>
          <w:sz w:val="32"/>
          <w:szCs w:val="32"/>
          <w:highlight w:val="none"/>
        </w:rPr>
      </w:pPr>
    </w:p>
    <w:p w14:paraId="5B973B8F">
      <w:pPr>
        <w:jc w:val="center"/>
        <w:rPr>
          <w:rFonts w:hint="default" w:ascii="Times New Roman" w:hAnsi="Times New Roman" w:eastAsia="黑体" w:cs="Times New Roman"/>
          <w:sz w:val="32"/>
          <w:szCs w:val="32"/>
          <w:highlight w:val="none"/>
        </w:rPr>
      </w:pPr>
    </w:p>
    <w:p w14:paraId="63310519">
      <w:pPr>
        <w:jc w:val="center"/>
        <w:rPr>
          <w:rFonts w:hint="default" w:ascii="Times New Roman" w:hAnsi="Times New Roman" w:eastAsia="黑体" w:cs="Times New Roman"/>
          <w:sz w:val="32"/>
          <w:szCs w:val="32"/>
          <w:highlight w:val="none"/>
        </w:rPr>
      </w:pPr>
    </w:p>
    <w:p w14:paraId="560CF168">
      <w:pPr>
        <w:jc w:val="center"/>
        <w:rPr>
          <w:rFonts w:hint="default" w:ascii="Times New Roman" w:hAnsi="Times New Roman" w:eastAsia="黑体" w:cs="Times New Roman"/>
          <w:sz w:val="32"/>
          <w:szCs w:val="32"/>
          <w:highlight w:val="none"/>
        </w:rPr>
      </w:pPr>
    </w:p>
    <w:p w14:paraId="2C9FE7C0">
      <w:pPr>
        <w:jc w:val="both"/>
        <w:rPr>
          <w:rFonts w:hint="default" w:ascii="Times New Roman" w:hAnsi="Times New Roman" w:eastAsia="黑体" w:cs="Times New Roman"/>
          <w:sz w:val="32"/>
          <w:szCs w:val="32"/>
          <w:highlight w:val="none"/>
        </w:rPr>
      </w:pPr>
    </w:p>
    <w:p w14:paraId="7D9A1E55">
      <w:pPr>
        <w:jc w:val="both"/>
        <w:rPr>
          <w:rFonts w:hint="default" w:ascii="Times New Roman" w:hAnsi="Times New Roman" w:eastAsia="黑体" w:cs="Times New Roman"/>
          <w:sz w:val="32"/>
          <w:szCs w:val="32"/>
          <w:highlight w:val="none"/>
        </w:rPr>
      </w:pPr>
    </w:p>
    <w:p w14:paraId="4A32A8C0">
      <w:pPr>
        <w:jc w:val="center"/>
        <w:rPr>
          <w:rFonts w:hint="default" w:ascii="Times New Roman" w:hAnsi="Times New Roman" w:eastAsia="黑体" w:cs="Times New Roman"/>
          <w:sz w:val="32"/>
          <w:szCs w:val="32"/>
          <w:highlight w:val="none"/>
        </w:rPr>
      </w:pPr>
    </w:p>
    <w:p w14:paraId="3B0BFD3C">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部门（单位）名称：岳阳市生态环境局岳阳县分局</w:t>
      </w:r>
      <w:r>
        <w:rPr>
          <w:rFonts w:hint="default" w:ascii="Times New Roman" w:hAnsi="Times New Roman" w:eastAsia="仿宋_GB2312" w:cs="Times New Roman"/>
          <w:sz w:val="32"/>
          <w:szCs w:val="32"/>
          <w:highlight w:val="none"/>
          <w:u w:val="none"/>
        </w:rPr>
        <w:t>（盖章）</w:t>
      </w:r>
    </w:p>
    <w:p w14:paraId="78091672">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39EAD24E">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1738AB10">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年度岳阳市生态环境局岳阳县分局</w:t>
      </w:r>
    </w:p>
    <w:p w14:paraId="78E56C41">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0F15BBAF">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16F9CE0C">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7B412E58">
      <w:pPr>
        <w:widowControl w:val="0"/>
        <w:spacing w:line="560" w:lineRule="exact"/>
        <w:ind w:firstLine="321" w:firstLineChars="100"/>
        <w:jc w:val="left"/>
        <w:rPr>
          <w:rFonts w:hint="eastAsia" w:ascii="仿宋_GB2312" w:hAnsi="黑体" w:eastAsia="仿宋_GB2312" w:cs="Times New Roman"/>
          <w:b/>
          <w:sz w:val="32"/>
          <w:szCs w:val="32"/>
          <w:lang w:val="en-US" w:eastAsia="zh-CN" w:bidi="ar-SA"/>
        </w:rPr>
      </w:pPr>
      <w:r>
        <w:rPr>
          <w:rFonts w:hint="eastAsia" w:ascii="仿宋_GB2312" w:hAnsi="黑体" w:eastAsia="仿宋_GB2312" w:cs="Times New Roman"/>
          <w:b/>
          <w:sz w:val="32"/>
          <w:szCs w:val="32"/>
          <w:lang w:val="en-US" w:eastAsia="zh-CN" w:bidi="ar-SA"/>
        </w:rPr>
        <w:t>（一）部门职责</w:t>
      </w:r>
    </w:p>
    <w:p w14:paraId="290D082A">
      <w:pPr>
        <w:pStyle w:val="4"/>
        <w:spacing w:before="0" w:beforeAutospacing="0" w:after="0" w:afterAutospacing="0" w:line="560" w:lineRule="exact"/>
        <w:ind w:firstLine="482"/>
        <w:jc w:val="both"/>
        <w:rPr>
          <w:rFonts w:ascii="仿宋_GB2312" w:hAnsi="仿宋" w:eastAsia="仿宋_GB2312" w:cs="仿宋"/>
          <w:sz w:val="32"/>
          <w:szCs w:val="32"/>
        </w:rPr>
      </w:pPr>
      <w:r>
        <w:rPr>
          <w:rFonts w:ascii="仿宋_GB2312" w:hAnsi="仿宋" w:eastAsia="仿宋_GB2312" w:cs="仿宋"/>
          <w:sz w:val="32"/>
          <w:szCs w:val="32"/>
        </w:rPr>
        <w:t>1、受</w:t>
      </w:r>
      <w:r>
        <w:rPr>
          <w:rFonts w:ascii="仿宋_GB2312" w:eastAsia="仿宋_GB2312" w:cs="仿宋"/>
          <w:sz w:val="32"/>
          <w:szCs w:val="32"/>
        </w:rPr>
        <w:t>岳阳</w:t>
      </w:r>
      <w:r>
        <w:rPr>
          <w:rFonts w:ascii="仿宋_GB2312" w:hAnsi="仿宋" w:eastAsia="仿宋_GB2312" w:cs="仿宋"/>
          <w:sz w:val="32"/>
          <w:szCs w:val="32"/>
        </w:rPr>
        <w:t>市生态环境局委托，承担辖区内的生态环境相关工作；承担</w:t>
      </w:r>
      <w:r>
        <w:rPr>
          <w:rFonts w:ascii="仿宋_GB2312" w:eastAsia="仿宋_GB2312" w:cs="仿宋"/>
          <w:sz w:val="32"/>
          <w:szCs w:val="32"/>
        </w:rPr>
        <w:t>岳阳</w:t>
      </w:r>
      <w:r>
        <w:rPr>
          <w:rFonts w:ascii="仿宋_GB2312" w:hAnsi="仿宋" w:eastAsia="仿宋_GB2312" w:cs="仿宋"/>
          <w:sz w:val="32"/>
          <w:szCs w:val="32"/>
        </w:rPr>
        <w:t>市生态环境局和</w:t>
      </w:r>
      <w:r>
        <w:rPr>
          <w:rFonts w:ascii="仿宋_GB2312" w:eastAsia="仿宋_GB2312" w:cs="仿宋"/>
          <w:sz w:val="32"/>
          <w:szCs w:val="32"/>
        </w:rPr>
        <w:t>岳阳县</w:t>
      </w:r>
      <w:r>
        <w:rPr>
          <w:rFonts w:ascii="仿宋_GB2312" w:hAnsi="仿宋" w:eastAsia="仿宋_GB2312" w:cs="仿宋"/>
          <w:sz w:val="32"/>
          <w:szCs w:val="32"/>
        </w:rPr>
        <w:t>委、县政府交办的其他任务。</w:t>
      </w:r>
    </w:p>
    <w:p w14:paraId="53177B4E">
      <w:pPr>
        <w:pStyle w:val="4"/>
        <w:spacing w:before="0" w:beforeAutospacing="0" w:after="0" w:afterAutospacing="0" w:line="560" w:lineRule="exact"/>
        <w:ind w:firstLine="482"/>
        <w:jc w:val="both"/>
        <w:rPr>
          <w:rFonts w:ascii="仿宋_GB2312" w:hAnsi="仿宋" w:eastAsia="仿宋_GB2312" w:cs="仿宋"/>
          <w:sz w:val="32"/>
          <w:szCs w:val="32"/>
        </w:rPr>
      </w:pPr>
      <w:r>
        <w:rPr>
          <w:rFonts w:ascii="仿宋_GB2312" w:hAnsi="仿宋" w:eastAsia="仿宋_GB2312" w:cs="仿宋"/>
          <w:sz w:val="32"/>
          <w:szCs w:val="32"/>
        </w:rPr>
        <w:t>2、</w:t>
      </w:r>
      <w:r>
        <w:rPr>
          <w:rFonts w:ascii="仿宋_GB2312" w:eastAsia="仿宋_GB2312"/>
          <w:color w:val="000000"/>
          <w:sz w:val="32"/>
          <w:szCs w:val="32"/>
        </w:rPr>
        <w:t>负责建立健全本辖区环境保护制度；负责全县重大环境问题的统筹协调和监督管理；牵头协调重特大环境污染事故和生态破坏事件的调查处理；协调重特大突发环境事件的应急、预警工作；协调解决环境污染纠纷；统筹协调本县重点流域、区域污染防治工作；落实国家和省、市减排目标；组织实施本县主要污染物排放总量控制和排污许可制度，</w:t>
      </w:r>
      <w:r>
        <w:rPr>
          <w:rFonts w:hint="eastAsia" w:ascii="仿宋_GB2312" w:eastAsia="仿宋_GB2312"/>
          <w:color w:val="000000"/>
          <w:sz w:val="32"/>
          <w:szCs w:val="32"/>
          <w:lang w:eastAsia="zh-CN"/>
        </w:rPr>
        <w:t>提出</w:t>
      </w:r>
      <w:r>
        <w:rPr>
          <w:rFonts w:ascii="仿宋_GB2312" w:eastAsia="仿宋_GB2312"/>
          <w:color w:val="000000"/>
          <w:sz w:val="32"/>
          <w:szCs w:val="32"/>
        </w:rPr>
        <w:t>实施总量控制的污染物名称和控制指标；督查、督办、核查本县污染物减排任务完成情况；负责全县环境污染防治的监督管理；指导、协调、监督全县生态保护工作；负责环境监测和信息发布等工作。</w:t>
      </w:r>
    </w:p>
    <w:p w14:paraId="27259F04">
      <w:pPr>
        <w:widowControl/>
        <w:spacing w:line="560" w:lineRule="exact"/>
        <w:ind w:firstLine="643" w:firstLineChars="200"/>
        <w:rPr>
          <w:rFonts w:hint="eastAsia" w:ascii="仿宋_GB2312" w:hAnsi="黑体" w:eastAsia="仿宋_GB2312"/>
          <w:b/>
          <w:bCs/>
          <w:kern w:val="0"/>
          <w:sz w:val="32"/>
          <w:szCs w:val="32"/>
        </w:rPr>
      </w:pPr>
      <w:r>
        <w:rPr>
          <w:rFonts w:hint="eastAsia" w:ascii="仿宋_GB2312" w:hAnsi="黑体" w:eastAsia="仿宋_GB2312"/>
          <w:b/>
          <w:bCs/>
          <w:kern w:val="0"/>
          <w:sz w:val="32"/>
          <w:szCs w:val="32"/>
        </w:rPr>
        <w:t>（二）机构设置及决算单位构成</w:t>
      </w:r>
    </w:p>
    <w:p w14:paraId="1ADC0E5A">
      <w:pPr>
        <w:pStyle w:val="4"/>
        <w:spacing w:before="0" w:beforeAutospacing="0" w:after="0" w:afterAutospacing="0" w:line="560" w:lineRule="exact"/>
        <w:ind w:firstLine="640" w:firstLineChars="200"/>
        <w:jc w:val="both"/>
        <w:rPr>
          <w:rFonts w:ascii="仿宋_GB2312" w:hAnsi="宋体" w:eastAsia="仿宋_GB2312" w:cs="宋体"/>
          <w:sz w:val="32"/>
          <w:lang w:val="zh-CN"/>
        </w:rPr>
      </w:pPr>
      <w:r>
        <w:rPr>
          <w:rFonts w:ascii="仿宋_GB2312" w:eastAsia="仿宋_GB2312"/>
          <w:sz w:val="32"/>
        </w:rPr>
        <w:t>1、</w:t>
      </w:r>
      <w:r>
        <w:rPr>
          <w:rFonts w:ascii="仿宋_GB2312" w:hAnsi="宋体" w:eastAsia="仿宋_GB2312" w:cs="宋体"/>
          <w:sz w:val="32"/>
          <w:lang w:val="zh-CN"/>
        </w:rPr>
        <w:t>机构设置。</w:t>
      </w:r>
    </w:p>
    <w:p w14:paraId="263C34D5">
      <w:pPr>
        <w:pStyle w:val="4"/>
        <w:spacing w:before="0" w:beforeAutospacing="0" w:after="0" w:afterAutospacing="0" w:line="560" w:lineRule="exact"/>
        <w:ind w:firstLine="640" w:firstLineChars="200"/>
        <w:jc w:val="both"/>
        <w:rPr>
          <w:rFonts w:hint="default"/>
        </w:rPr>
      </w:pPr>
      <w:r>
        <w:rPr>
          <w:rFonts w:ascii="仿宋_GB2312" w:hAnsi="仿宋" w:eastAsia="仿宋_GB2312" w:cs="仿宋"/>
          <w:kern w:val="2"/>
          <w:sz w:val="32"/>
          <w:lang w:val="zh-CN"/>
        </w:rPr>
        <w:t>岳阳市生态环境局岳阳县分局部门预算包括局机关本级决算及所属二级机构（根据财政预算管理制度，所属二级机构由岳阳市生态环境局岳阳县分局统一预算），</w:t>
      </w:r>
      <w:r>
        <w:rPr>
          <w:rFonts w:ascii="仿宋_GB2312" w:eastAsia="仿宋_GB2312"/>
          <w:sz w:val="32"/>
          <w:szCs w:val="32"/>
        </w:rPr>
        <w:t>我分局内设股室14个：办公室，财务股，人事股，固体废物、核与辐射管理股，水环境管理股，土壤环境管理股，大气环境管理股，科技监测与生态股，环评股，综合股，法制宣传股，党建办，工会，后勤中心；副科级机构3个：生态环境事务中心、生态环境综合执法大队、生态环境监测站。全局现有</w:t>
      </w:r>
      <w:r>
        <w:rPr>
          <w:rFonts w:hint="eastAsia" w:ascii="仿宋_GB2312" w:eastAsia="仿宋_GB2312"/>
          <w:sz w:val="32"/>
          <w:szCs w:val="32"/>
          <w:lang w:eastAsia="zh-CN"/>
        </w:rPr>
        <w:t>在编人员</w:t>
      </w:r>
      <w:r>
        <w:rPr>
          <w:rFonts w:hint="eastAsia" w:ascii="仿宋_GB2312" w:eastAsia="仿宋_GB2312"/>
          <w:sz w:val="32"/>
          <w:szCs w:val="32"/>
          <w:lang w:val="en-US" w:eastAsia="zh-CN"/>
        </w:rPr>
        <w:t>94人，退休34人</w:t>
      </w:r>
      <w:r>
        <w:rPr>
          <w:rFonts w:ascii="仿宋_GB2312" w:eastAsia="仿宋_GB2312"/>
          <w:sz w:val="32"/>
          <w:szCs w:val="32"/>
        </w:rPr>
        <w:t>。</w:t>
      </w:r>
    </w:p>
    <w:p w14:paraId="2232D7D7">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68226F64">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7FFC4243">
      <w:pPr>
        <w:spacing w:line="560" w:lineRule="exact"/>
        <w:ind w:firstLine="640" w:firstLineChars="200"/>
        <w:jc w:val="left"/>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年基本支出年初预算数为</w:t>
      </w:r>
      <w:r>
        <w:rPr>
          <w:rFonts w:hint="eastAsia" w:ascii="宋体" w:hAnsi="宋体" w:eastAsia="仿宋_GB2312"/>
          <w:sz w:val="32"/>
          <w:szCs w:val="24"/>
          <w:lang w:val="en-US" w:eastAsia="zh-CN"/>
        </w:rPr>
        <w:t>1685.22</w:t>
      </w:r>
      <w:r>
        <w:rPr>
          <w:rFonts w:hint="eastAsia" w:ascii="仿宋_GB2312" w:hAnsi="仿宋_GB2312" w:eastAsia="仿宋_GB2312" w:cs="仿宋_GB2312"/>
          <w:color w:val="000000"/>
          <w:kern w:val="0"/>
          <w:sz w:val="32"/>
          <w:szCs w:val="32"/>
        </w:rPr>
        <w:t>万元，决算实际支出数为</w:t>
      </w:r>
      <w:r>
        <w:rPr>
          <w:rFonts w:hint="eastAsia" w:ascii="仿宋_GB2312" w:hAnsi="仿宋_GB2312" w:eastAsia="仿宋_GB2312" w:cs="仿宋_GB2312"/>
          <w:color w:val="000000"/>
          <w:kern w:val="0"/>
          <w:sz w:val="32"/>
          <w:szCs w:val="32"/>
          <w:lang w:val="en-US" w:eastAsia="zh-CN"/>
        </w:rPr>
        <w:t>1848.37</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基本支出包括：人员经费</w:t>
      </w:r>
      <w:r>
        <w:rPr>
          <w:rFonts w:hint="eastAsia" w:ascii="仿宋_GB2312" w:hAnsi="仿宋_GB2312" w:eastAsia="仿宋_GB2312" w:cs="仿宋_GB2312"/>
          <w:color w:val="000000"/>
          <w:kern w:val="0"/>
          <w:sz w:val="32"/>
          <w:szCs w:val="32"/>
          <w:lang w:val="en-US" w:eastAsia="zh-CN"/>
        </w:rPr>
        <w:t>1590.16</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公用经费</w:t>
      </w:r>
      <w:r>
        <w:rPr>
          <w:rFonts w:hint="eastAsia" w:ascii="仿宋_GB2312" w:hAnsi="仿宋_GB2312" w:eastAsia="仿宋_GB2312" w:cs="仿宋_GB2312"/>
          <w:color w:val="000000"/>
          <w:kern w:val="0"/>
          <w:sz w:val="32"/>
          <w:szCs w:val="32"/>
          <w:lang w:val="en-US" w:eastAsia="zh-CN"/>
        </w:rPr>
        <w:t>258.21</w:t>
      </w:r>
      <w:r>
        <w:rPr>
          <w:rFonts w:hint="eastAsia" w:ascii="仿宋_GB2312" w:hAnsi="仿宋_GB2312" w:eastAsia="仿宋_GB2312" w:cs="仿宋_GB2312"/>
          <w:color w:val="000000"/>
          <w:kern w:val="0"/>
          <w:sz w:val="32"/>
          <w:szCs w:val="32"/>
        </w:rPr>
        <w:t>万元。</w:t>
      </w:r>
    </w:p>
    <w:p w14:paraId="403D1FE6">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0ADFAE10">
      <w:pPr>
        <w:pStyle w:val="9"/>
        <w:spacing w:after="0" w:line="560" w:lineRule="exact"/>
        <w:ind w:firstLine="600"/>
        <w:jc w:val="both"/>
        <w:rPr>
          <w:rFonts w:hint="eastAsia" w:ascii="Times New Roman" w:hAnsi="Times New Roman" w:eastAsia="仿宋_GB2312" w:cs="Times New Roman"/>
          <w:b/>
          <w:sz w:val="32"/>
          <w:szCs w:val="32"/>
          <w:highlight w:val="none"/>
          <w:lang w:eastAsia="zh-CN"/>
        </w:rPr>
      </w:pPr>
      <w:r>
        <w:rPr>
          <w:rFonts w:hint="eastAsia" w:ascii="仿宋_GB2312" w:hAnsi="仿宋_GB2312" w:eastAsia="仿宋_GB2312"/>
          <w:color w:val="000000"/>
          <w:kern w:val="0"/>
          <w:sz w:val="32"/>
        </w:rPr>
        <w:t>202</w:t>
      </w:r>
      <w:r>
        <w:rPr>
          <w:rFonts w:hint="eastAsia" w:ascii="仿宋_GB2312" w:hAnsi="仿宋_GB2312" w:eastAsia="仿宋_GB2312"/>
          <w:color w:val="000000"/>
          <w:kern w:val="0"/>
          <w:sz w:val="32"/>
          <w:lang w:val="en-US" w:eastAsia="zh-CN"/>
        </w:rPr>
        <w:t>4</w:t>
      </w:r>
      <w:r>
        <w:rPr>
          <w:rFonts w:hint="eastAsia" w:ascii="仿宋_GB2312" w:hAnsi="仿宋_GB2312" w:eastAsia="仿宋_GB2312"/>
          <w:color w:val="000000"/>
          <w:kern w:val="0"/>
          <w:sz w:val="32"/>
        </w:rPr>
        <w:t>年项目支出年初预算数为73.61万元，决算实际支出数为</w:t>
      </w:r>
      <w:r>
        <w:rPr>
          <w:rFonts w:hint="eastAsia" w:ascii="仿宋_GB2312" w:hAnsi="仿宋_GB2312" w:eastAsia="仿宋_GB2312"/>
          <w:color w:val="000000"/>
          <w:kern w:val="0"/>
          <w:sz w:val="32"/>
          <w:lang w:val="en-US" w:eastAsia="zh-CN"/>
        </w:rPr>
        <w:t>1302.63</w:t>
      </w:r>
      <w:r>
        <w:rPr>
          <w:rFonts w:hint="eastAsia" w:ascii="仿宋_GB2312" w:hAnsi="仿宋_GB2312" w:eastAsia="仿宋_GB2312"/>
          <w:color w:val="000000"/>
          <w:kern w:val="0"/>
          <w:sz w:val="32"/>
        </w:rPr>
        <w:t>万</w:t>
      </w:r>
      <w:r>
        <w:rPr>
          <w:rFonts w:hint="eastAsia" w:ascii="仿宋_GB2312" w:eastAsia="仿宋_GB2312"/>
          <w:kern w:val="0"/>
          <w:sz w:val="32"/>
        </w:rPr>
        <w:t>元</w:t>
      </w:r>
      <w:r>
        <w:rPr>
          <w:rFonts w:hint="eastAsia" w:ascii="仿宋_GB2312" w:hAnsi="仿宋_GB2312" w:eastAsia="仿宋_GB2312"/>
          <w:color w:val="000000"/>
          <w:kern w:val="0"/>
          <w:sz w:val="32"/>
        </w:rPr>
        <w:t>。</w:t>
      </w:r>
      <w:r>
        <w:rPr>
          <w:rFonts w:hint="eastAsia" w:ascii="仿宋_GB2312" w:hAnsi="仿宋" w:eastAsia="仿宋_GB2312"/>
          <w:color w:val="000000"/>
          <w:kern w:val="0"/>
          <w:sz w:val="32"/>
          <w:szCs w:val="32"/>
          <w:lang w:val="en-US" w:eastAsia="zh-CN"/>
        </w:rPr>
        <w:t>主要</w:t>
      </w:r>
      <w:r>
        <w:rPr>
          <w:rFonts w:hint="eastAsia" w:ascii="仿宋_GB2312" w:hAnsi="仿宋" w:eastAsia="仿宋_GB2312"/>
          <w:color w:val="000000"/>
          <w:kern w:val="0"/>
          <w:sz w:val="32"/>
          <w:szCs w:val="32"/>
        </w:rPr>
        <w:t>包括：</w:t>
      </w:r>
      <w:r>
        <w:rPr>
          <w:rFonts w:hint="eastAsia" w:ascii="仿宋_GB2312" w:hAnsi="仿宋" w:eastAsia="仿宋_GB2312"/>
          <w:kern w:val="0"/>
          <w:sz w:val="32"/>
          <w:szCs w:val="32"/>
        </w:rPr>
        <w:t>上级专项资金</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办案费</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环境监测、监控及监察能力建设</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环境监察、监测等运行等</w:t>
      </w:r>
      <w:r>
        <w:rPr>
          <w:rFonts w:hint="eastAsia" w:ascii="仿宋_GB2312" w:hAnsi="仿宋" w:eastAsia="仿宋_GB2312"/>
          <w:kern w:val="0"/>
          <w:sz w:val="32"/>
          <w:szCs w:val="32"/>
          <w:lang w:eastAsia="zh-CN"/>
        </w:rPr>
        <w:t>。</w:t>
      </w:r>
    </w:p>
    <w:p w14:paraId="77CFAD50">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56BF7A27">
      <w:pPr>
        <w:spacing w:line="560" w:lineRule="exact"/>
        <w:ind w:firstLine="640" w:firstLineChars="200"/>
        <w:jc w:val="left"/>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kern w:val="0"/>
          <w:sz w:val="32"/>
          <w:szCs w:val="32"/>
          <w:lang w:val="en-US" w:eastAsia="zh-CN"/>
        </w:rPr>
        <w:t>2024年</w:t>
      </w:r>
      <w:r>
        <w:rPr>
          <w:rFonts w:hint="eastAsia" w:ascii="仿宋_GB2312" w:hAnsi="仿宋_GB2312" w:eastAsia="仿宋_GB2312" w:cs="仿宋_GB2312"/>
          <w:color w:val="000000"/>
          <w:kern w:val="0"/>
          <w:sz w:val="32"/>
          <w:szCs w:val="32"/>
        </w:rPr>
        <w:t>无政府性基金预算支出情况</w:t>
      </w:r>
    </w:p>
    <w:p w14:paraId="25789BEB">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7F8C0990">
      <w:pPr>
        <w:spacing w:line="560" w:lineRule="exact"/>
        <w:ind w:firstLine="640" w:firstLineChars="200"/>
        <w:jc w:val="left"/>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kern w:val="0"/>
          <w:sz w:val="32"/>
          <w:szCs w:val="32"/>
          <w:lang w:val="en-US" w:eastAsia="zh-CN"/>
        </w:rPr>
        <w:t>2024年</w:t>
      </w:r>
      <w:r>
        <w:rPr>
          <w:rFonts w:hint="eastAsia" w:ascii="仿宋_GB2312" w:hAnsi="仿宋_GB2312" w:eastAsia="仿宋_GB2312" w:cs="仿宋_GB2312"/>
          <w:color w:val="000000"/>
          <w:kern w:val="0"/>
          <w:sz w:val="32"/>
          <w:szCs w:val="32"/>
        </w:rPr>
        <w:t>无国有资本经营预算支出情况</w:t>
      </w:r>
    </w:p>
    <w:p w14:paraId="7CDDDB73">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6ACBE9CA">
      <w:pPr>
        <w:spacing w:line="560" w:lineRule="exact"/>
        <w:ind w:firstLine="640" w:firstLineChars="200"/>
        <w:jc w:val="left"/>
        <w:rPr>
          <w:rFonts w:hint="default" w:ascii="Times New Roman" w:hAnsi="Times New Roman" w:eastAsia="黑体" w:cs="Times New Roman"/>
          <w:sz w:val="32"/>
          <w:szCs w:val="32"/>
          <w:highlight w:val="none"/>
        </w:rPr>
      </w:pPr>
      <w:r>
        <w:rPr>
          <w:rFonts w:hint="eastAsia" w:ascii="仿宋_GB2312" w:hAnsi="仿宋_GB2312" w:eastAsia="仿宋_GB2312" w:cs="仿宋_GB2312"/>
          <w:color w:val="000000"/>
          <w:kern w:val="0"/>
          <w:sz w:val="32"/>
          <w:szCs w:val="32"/>
          <w:lang w:val="en-US" w:eastAsia="zh-CN"/>
        </w:rPr>
        <w:t>2024年</w:t>
      </w:r>
      <w:r>
        <w:rPr>
          <w:rFonts w:hint="eastAsia" w:ascii="仿宋_GB2312" w:hAnsi="仿宋_GB2312" w:eastAsia="仿宋_GB2312" w:cs="仿宋_GB2312"/>
          <w:color w:val="000000"/>
          <w:kern w:val="0"/>
          <w:sz w:val="32"/>
          <w:szCs w:val="32"/>
        </w:rPr>
        <w:t>无社会保险基金预算支出情况</w:t>
      </w:r>
    </w:p>
    <w:p w14:paraId="43250A6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5D3A84E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 xml:space="preserve">一）部门资金情况分析 </w:t>
      </w:r>
    </w:p>
    <w:p w14:paraId="32EDBFF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我局202</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年预算资金总额</w:t>
      </w:r>
      <w:r>
        <w:rPr>
          <w:rFonts w:hint="eastAsia" w:ascii="Times New Roman" w:hAnsi="Times New Roman" w:eastAsia="仿宋_GB2312" w:cs="Times New Roman"/>
          <w:color w:val="000000"/>
          <w:sz w:val="32"/>
          <w:szCs w:val="32"/>
          <w:highlight w:val="none"/>
          <w:lang w:val="en-US" w:eastAsia="zh-CN"/>
        </w:rPr>
        <w:t>3259.92</w:t>
      </w:r>
      <w:r>
        <w:rPr>
          <w:rFonts w:hint="default" w:ascii="Times New Roman" w:hAnsi="Times New Roman" w:eastAsia="仿宋_GB2312" w:cs="Times New Roman"/>
          <w:color w:val="000000"/>
          <w:sz w:val="32"/>
          <w:szCs w:val="32"/>
          <w:highlight w:val="none"/>
        </w:rPr>
        <w:t>万元，专项经费实行专款专用，严格按照相关规定支付，资金支付合规合法，资金使用率100%。</w:t>
      </w:r>
    </w:p>
    <w:p w14:paraId="612520E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（二）项目绩效指标完成情况分析</w:t>
      </w:r>
    </w:p>
    <w:p w14:paraId="3021711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1.履职效能情况分析 </w:t>
      </w:r>
    </w:p>
    <w:p w14:paraId="28D7F07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2024年，我县空气质量综合指数3.22，全省排名并列第76位；优良率88.0%，同比降低3.2个百分点，在13县市区中排名第4；PM2.5浓度32.86μg/m3，同比改善3.64%；PM10和SO2年均浓度较上年同期分别改善了8.2%和11.1%。岳阳县4个省控水质监测断面均达到地表水Ⅱ类标准；3个国控水质监测断面除总磷外各项指标均达到Ⅲ类水质标准，均达到省级考核目标；县级及以上集中式饮用水水源地水质达标率稳定保持100%。我县无高风险污染地块，受污染耕地安全利用率达到92%以上，土壤环境质量符合环境功能要求。完成了48项“夏季攻势”整治任务、3个存量问题销号；配合县纪委监委完成了12个“洞庭清波”问题整改；13个环保督察反馈问题已完成县级销号。全年未发生重大环境污染事故、重大生态破坏事件以及因环境问题引发的群体性事件。</w:t>
      </w:r>
    </w:p>
    <w:p w14:paraId="2417EB07">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2.管理效率情况分析</w:t>
      </w:r>
    </w:p>
    <w:p w14:paraId="7CF75F9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预算编制完整，专项资金细化率、预算执行率达到标准，预算调整率偏高，主要原因是追加项目增加导致预算调整金额增加。收入支出管理规范，内控制度有效，资产管理规范，部门固定资产利用率符合目标，信息化建设和管理制度建设有效。 </w:t>
      </w:r>
    </w:p>
    <w:p w14:paraId="1D02FE9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3.运行成本控制情况分析 </w:t>
      </w:r>
    </w:p>
    <w:p w14:paraId="004EF4C3">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“三公经费”、公用经费均控制在预算范围内。</w:t>
      </w:r>
    </w:p>
    <w:p w14:paraId="01D501D5">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4.服务满意度指标完成情况分析</w:t>
      </w:r>
    </w:p>
    <w:p w14:paraId="5482BB4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2024年，我分局共受理群众诉求297起，均在规定时间内完成办结，回复率100%，满意率95%以上。以96.67%的满意率顺利岳阳县十八届人大常委会第17次会议对生态环境保护工作的评议整改。我县生态环境满意度测评已连续三年排名全市前列。</w:t>
      </w:r>
    </w:p>
    <w:p w14:paraId="2840F43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5.可持续性影响情况分析</w:t>
      </w:r>
    </w:p>
    <w:p w14:paraId="5A9B3AA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eastAsia" w:ascii="Times New Roman" w:hAnsi="Times New Roman" w:eastAsia="仿宋_GB2312" w:cs="Times New Roman"/>
          <w:color w:val="000000"/>
          <w:sz w:val="32"/>
          <w:szCs w:val="32"/>
          <w:highlight w:val="none"/>
          <w:lang w:eastAsia="zh-CN"/>
        </w:rPr>
        <w:t>我分局</w:t>
      </w:r>
      <w:r>
        <w:rPr>
          <w:rFonts w:hint="default" w:ascii="Times New Roman" w:hAnsi="Times New Roman" w:eastAsia="仿宋_GB2312" w:cs="Times New Roman"/>
          <w:color w:val="000000"/>
          <w:sz w:val="32"/>
          <w:szCs w:val="32"/>
          <w:highlight w:val="none"/>
        </w:rPr>
        <w:t>精准施策，环境质量在压力叠加中实现改善。大气环境质量提档进位。水环境质量持续改善。土壤环境安全稳定。营商环境不断优化。风险隐患管控有力。202</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年全县未发生较大及以上环境安全事故和生态破坏事件。</w:t>
      </w:r>
    </w:p>
    <w:p w14:paraId="66C1E133">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3E642A47">
      <w:pPr>
        <w:widowControl/>
        <w:spacing w:line="56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一是生态环境质量改善压力大。水环境方面，我县国控水质断面虽能达到省级考核目标，但受县城区排水影响，八仙桥断面总磷浓度仍不能稳定达标；大气环境方面，在有效控制PM2.5浓度上措施还不够有力，特别是在秸秆禁烧上部门、乡镇在协同发力上还有差距。</w:t>
      </w:r>
    </w:p>
    <w:p w14:paraId="7C1CF056">
      <w:pPr>
        <w:widowControl/>
        <w:spacing w:line="56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二是党建引领中心工作不够深。日常工作中聚焦于生态环境考核目标任务的完成，导致在制定工作计划、分配工作资源时，党建工作所有弱化，党建工作与生态环境监管、环境质量改善、重点项目实施的融合度不高。</w:t>
      </w:r>
    </w:p>
    <w:p w14:paraId="3EA01C07">
      <w:pPr>
        <w:widowControl/>
        <w:spacing w:line="560" w:lineRule="exact"/>
        <w:ind w:firstLine="640" w:firstLineChars="20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三是队伍综合素质有待提高。部分执法人员在专业知识和业务水平上系统学习不够，不主动，敬业精神不够强，主动担当作为不够，发现问题、处理问题、应对问题的能力还有待提高。</w:t>
      </w:r>
    </w:p>
    <w:p w14:paraId="3BC289C5">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50945F9A">
      <w:pPr>
        <w:widowControl/>
        <w:spacing w:line="56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加强财务管理，严格财务审批。在费用报账支付时，按照预算规定的费用项目和用途进行资金使用、审核，列报支付，财务核算杜绝超支现象的发生。</w:t>
      </w:r>
    </w:p>
    <w:p w14:paraId="1737494C">
      <w:pPr>
        <w:widowControl/>
        <w:spacing w:line="560" w:lineRule="exact"/>
        <w:ind w:firstLine="640" w:firstLineChars="200"/>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加强培训。建议多开展部门整体绩效评价工作的业务工作培训，组织开展部门之间、单位之间的经验交流，特别是要组织非财务部门的人员参与评价工作，切实推进绩效评价工作的开展。</w:t>
      </w:r>
    </w:p>
    <w:p w14:paraId="7EE75AC0">
      <w:pPr>
        <w:widowControl/>
        <w:spacing w:line="560" w:lineRule="exact"/>
        <w:ind w:firstLine="640" w:firstLineChars="200"/>
        <w:rPr>
          <w:rFonts w:hint="default"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保持大气、水环境、土壤环境质量良好状态，达到考核标准，统筹抓好整改，完成上级交办的突出环境问题整治任务，保障全年不发生重大环境污染事故和重大生态破坏事件。</w:t>
      </w:r>
    </w:p>
    <w:p w14:paraId="63F30B5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3E98E01A">
      <w:pPr>
        <w:widowControl/>
        <w:spacing w:line="560" w:lineRule="exact"/>
        <w:ind w:firstLine="640" w:firstLineChars="200"/>
        <w:rPr>
          <w:rFonts w:hint="default" w:ascii="仿宋_GB2312" w:hAnsi="Times New Roman" w:eastAsia="仿宋_GB2312"/>
          <w:kern w:val="0"/>
          <w:sz w:val="32"/>
          <w:szCs w:val="32"/>
          <w:lang w:val="en-US" w:eastAsia="zh-CN"/>
        </w:rPr>
      </w:pPr>
      <w:r>
        <w:rPr>
          <w:rFonts w:hint="eastAsia" w:ascii="仿宋_GB2312" w:hAnsi="Times New Roman" w:eastAsia="仿宋_GB2312"/>
          <w:kern w:val="0"/>
          <w:sz w:val="32"/>
          <w:szCs w:val="32"/>
          <w:lang w:val="en-US" w:eastAsia="zh-CN"/>
        </w:rPr>
        <w:t>本单位高度重视预算支出绩效自评工作，积极落实主体责任，成立预算绩效管理领导小组，加强组织领导，按照绩效</w:t>
      </w:r>
      <w:r>
        <w:rPr>
          <w:rFonts w:hint="eastAsia" w:ascii="仿宋_GB2312" w:hAnsi="Times New Roman" w:eastAsia="仿宋_GB2312"/>
          <w:kern w:val="0"/>
          <w:sz w:val="32"/>
          <w:szCs w:val="32"/>
        </w:rPr>
        <w:t>管理</w:t>
      </w:r>
      <w:r>
        <w:rPr>
          <w:rFonts w:hint="eastAsia" w:ascii="仿宋_GB2312" w:hAnsi="Times New Roman" w:eastAsia="仿宋_GB2312"/>
          <w:kern w:val="0"/>
          <w:sz w:val="32"/>
          <w:szCs w:val="32"/>
          <w:lang w:val="en-US" w:eastAsia="zh-CN"/>
        </w:rPr>
        <w:t>工作方案和绩效评价相关制度规定，认真开展自评，确保绩效自评工作顺利实施，并按照要求进行信息公开，对存在的问题积极整改。</w:t>
      </w:r>
    </w:p>
    <w:p w14:paraId="7CF78E2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6C5D2B3F">
      <w:pPr>
        <w:spacing w:line="56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3EC1DEF5">
      <w:pPr>
        <w:pStyle w:val="2"/>
        <w:rPr>
          <w:rFonts w:hint="default"/>
        </w:rPr>
      </w:pPr>
    </w:p>
    <w:p w14:paraId="16AE5C3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2AA7891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6EC4202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1A535F1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6A6C02E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5A20A45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51DACDA8">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06C6B0F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4FD16"/>
    <w:multiLevelType w:val="singleLevel"/>
    <w:tmpl w:val="C764FD16"/>
    <w:lvl w:ilvl="0" w:tentative="0">
      <w:start w:val="1"/>
      <w:numFmt w:val="chineseCounting"/>
      <w:suff w:val="nothing"/>
      <w:lvlText w:val="%1、"/>
      <w:lvlJc w:val="left"/>
      <w:rPr>
        <w:rFonts w:hint="eastAsia"/>
      </w:rPr>
    </w:lvl>
  </w:abstractNum>
  <w:abstractNum w:abstractNumId="1">
    <w:nsid w:val="E338237D"/>
    <w:multiLevelType w:val="singleLevel"/>
    <w:tmpl w:val="E338237D"/>
    <w:lvl w:ilvl="0" w:tentative="0">
      <w:start w:val="8"/>
      <w:numFmt w:val="chineseCounting"/>
      <w:suff w:val="nothing"/>
      <w:lvlText w:val="%1、"/>
      <w:lvlJc w:val="left"/>
      <w:rPr>
        <w:rFonts w:hint="eastAsia"/>
      </w:rPr>
    </w:lvl>
  </w:abstractNum>
  <w:abstractNum w:abstractNumId="2">
    <w:nsid w:val="EAF602F1"/>
    <w:multiLevelType w:val="singleLevel"/>
    <w:tmpl w:val="EAF602F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061443A"/>
    <w:rsid w:val="01442B49"/>
    <w:rsid w:val="01916C5A"/>
    <w:rsid w:val="01E50928"/>
    <w:rsid w:val="02367383"/>
    <w:rsid w:val="02753E85"/>
    <w:rsid w:val="036A7762"/>
    <w:rsid w:val="05850883"/>
    <w:rsid w:val="06484360"/>
    <w:rsid w:val="07235BE6"/>
    <w:rsid w:val="098A290C"/>
    <w:rsid w:val="0B2121A1"/>
    <w:rsid w:val="0BB772BD"/>
    <w:rsid w:val="0DFC6A1D"/>
    <w:rsid w:val="0E9F1CD8"/>
    <w:rsid w:val="1034712E"/>
    <w:rsid w:val="11B84B99"/>
    <w:rsid w:val="145C6C53"/>
    <w:rsid w:val="15DB44F0"/>
    <w:rsid w:val="161D2412"/>
    <w:rsid w:val="18272BE6"/>
    <w:rsid w:val="19DB4ABE"/>
    <w:rsid w:val="1A2521DD"/>
    <w:rsid w:val="1A9F789A"/>
    <w:rsid w:val="1E470974"/>
    <w:rsid w:val="1E480C43"/>
    <w:rsid w:val="20F5226F"/>
    <w:rsid w:val="22D34474"/>
    <w:rsid w:val="279938C3"/>
    <w:rsid w:val="285F643D"/>
    <w:rsid w:val="28A8058D"/>
    <w:rsid w:val="2CBF3DCB"/>
    <w:rsid w:val="2E9C1044"/>
    <w:rsid w:val="2ED43FD4"/>
    <w:rsid w:val="2FD656B4"/>
    <w:rsid w:val="30F71D86"/>
    <w:rsid w:val="317E6CB6"/>
    <w:rsid w:val="32FD73FC"/>
    <w:rsid w:val="36C908B5"/>
    <w:rsid w:val="384653A1"/>
    <w:rsid w:val="39AE1450"/>
    <w:rsid w:val="3C1A7270"/>
    <w:rsid w:val="3C5E3B51"/>
    <w:rsid w:val="3DB90469"/>
    <w:rsid w:val="3E6B3DB3"/>
    <w:rsid w:val="3F60795C"/>
    <w:rsid w:val="3FDD6677"/>
    <w:rsid w:val="402C1320"/>
    <w:rsid w:val="40ED4F53"/>
    <w:rsid w:val="426D5C02"/>
    <w:rsid w:val="42A41642"/>
    <w:rsid w:val="42AB0C22"/>
    <w:rsid w:val="43513AA8"/>
    <w:rsid w:val="43F971DC"/>
    <w:rsid w:val="44060BC5"/>
    <w:rsid w:val="4475773A"/>
    <w:rsid w:val="44F75334"/>
    <w:rsid w:val="45396704"/>
    <w:rsid w:val="46CA0775"/>
    <w:rsid w:val="487C7EE2"/>
    <w:rsid w:val="48AE321A"/>
    <w:rsid w:val="49CE428E"/>
    <w:rsid w:val="4A975910"/>
    <w:rsid w:val="4BDE3E16"/>
    <w:rsid w:val="4D357A66"/>
    <w:rsid w:val="4DC5673B"/>
    <w:rsid w:val="4E4C150B"/>
    <w:rsid w:val="4E5F7F7E"/>
    <w:rsid w:val="4EBE7F2F"/>
    <w:rsid w:val="50487AB0"/>
    <w:rsid w:val="51305287"/>
    <w:rsid w:val="51491D32"/>
    <w:rsid w:val="515E05A0"/>
    <w:rsid w:val="516A3A56"/>
    <w:rsid w:val="519B00B4"/>
    <w:rsid w:val="5311062D"/>
    <w:rsid w:val="53D8739D"/>
    <w:rsid w:val="54963B91"/>
    <w:rsid w:val="55142657"/>
    <w:rsid w:val="56AE4E93"/>
    <w:rsid w:val="5708735A"/>
    <w:rsid w:val="59886344"/>
    <w:rsid w:val="5A5D23AA"/>
    <w:rsid w:val="5AD36B10"/>
    <w:rsid w:val="5B2B4256"/>
    <w:rsid w:val="5C007491"/>
    <w:rsid w:val="5DB47FE2"/>
    <w:rsid w:val="6008663C"/>
    <w:rsid w:val="617050B9"/>
    <w:rsid w:val="61A86601"/>
    <w:rsid w:val="63C64528"/>
    <w:rsid w:val="640C55D8"/>
    <w:rsid w:val="64C73242"/>
    <w:rsid w:val="657131AE"/>
    <w:rsid w:val="69E77EE2"/>
    <w:rsid w:val="6ACD532A"/>
    <w:rsid w:val="6B7220E6"/>
    <w:rsid w:val="6DA63D56"/>
    <w:rsid w:val="6DAA3701"/>
    <w:rsid w:val="6EF72CE4"/>
    <w:rsid w:val="705636CC"/>
    <w:rsid w:val="72203F91"/>
    <w:rsid w:val="733A6CBD"/>
    <w:rsid w:val="733E7D92"/>
    <w:rsid w:val="75CF20B5"/>
    <w:rsid w:val="76FC03FE"/>
    <w:rsid w:val="774C75D7"/>
    <w:rsid w:val="79112886"/>
    <w:rsid w:val="792812D1"/>
    <w:rsid w:val="79E63D12"/>
    <w:rsid w:val="7C1F175E"/>
    <w:rsid w:val="7DEC38C1"/>
    <w:rsid w:val="7DFA64D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autoRedefine/>
    <w:qFormat/>
    <w:uiPriority w:val="0"/>
    <w:pPr>
      <w:ind w:left="1680" w:leftChars="800"/>
    </w:pPr>
    <w:rPr>
      <w:rFonts w:hint="eastAsia" w:ascii="Times New Roman" w:hAnsi="Times New Roman" w:eastAsia="宋体" w:cs="Times New Roman"/>
      <w:sz w:val="21"/>
      <w:szCs w:val="24"/>
    </w:rPr>
  </w:style>
  <w:style w:type="paragraph" w:styleId="4">
    <w:name w:val="Normal (Web)"/>
    <w:autoRedefine/>
    <w:qFormat/>
    <w:uiPriority w:val="0"/>
    <w:pPr>
      <w:widowControl w:val="0"/>
      <w:spacing w:before="100" w:beforeAutospacing="1" w:after="100" w:afterAutospacing="1"/>
      <w:jc w:val="left"/>
    </w:pPr>
    <w:rPr>
      <w:rFonts w:hint="eastAsia" w:ascii="Times New Roman" w:hAnsi="Times New Roman" w:eastAsia="宋体" w:cs="Times New Roman"/>
      <w:kern w:val="0"/>
      <w:sz w:val="24"/>
      <w:szCs w:val="24"/>
      <w:lang w:val="en-US" w:eastAsia="zh-CN" w:bidi="ar-SA"/>
    </w:rPr>
  </w:style>
  <w:style w:type="paragraph" w:customStyle="1" w:styleId="7">
    <w:name w:val="列出段落1"/>
    <w:basedOn w:val="1"/>
    <w:autoRedefine/>
    <w:qFormat/>
    <w:uiPriority w:val="34"/>
    <w:pPr>
      <w:ind w:firstLine="420" w:firstLineChars="200"/>
    </w:pPr>
  </w:style>
  <w:style w:type="paragraph" w:styleId="8">
    <w:name w:val="List Paragraph"/>
    <w:basedOn w:val="1"/>
    <w:autoRedefine/>
    <w:qFormat/>
    <w:uiPriority w:val="99"/>
    <w:pPr>
      <w:ind w:firstLine="420" w:firstLineChars="200"/>
    </w:pPr>
    <w:rPr>
      <w:rFonts w:ascii="Calibri" w:hAnsi="Calibri"/>
      <w:szCs w:val="22"/>
    </w:rPr>
  </w:style>
  <w:style w:type="paragraph" w:customStyle="1" w:styleId="9">
    <w:name w:val="Body text|1"/>
    <w:autoRedefine/>
    <w:qFormat/>
    <w:uiPriority w:val="0"/>
    <w:pPr>
      <w:widowControl w:val="0"/>
      <w:spacing w:after="60" w:line="454" w:lineRule="auto"/>
      <w:ind w:firstLine="400"/>
      <w:jc w:val="lef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2327</Words>
  <Characters>2741</Characters>
  <Lines>0</Lines>
  <Paragraphs>0</Paragraphs>
  <TotalTime>8</TotalTime>
  <ScaleCrop>false</ScaleCrop>
  <LinksUpToDate>false</LinksUpToDate>
  <CharactersWithSpaces>2968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Y</cp:lastModifiedBy>
  <dcterms:modified xsi:type="dcterms:W3CDTF">2025-06-04T08:27:10Z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6182D3A10D564617983F46DEE354AEAF</vt:lpwstr>
  </property>
  <property fmtid="{D5CDD505-2E9C-101B-9397-08002B2CF9AE}" pid="4" name="KSOTemplateDocerSaveRecord">
    <vt:lpwstr>eyJoZGlkIjoiYTI1ZWRhODIzZjNkMzE5ODI3Y2UwZTM2NjQ3YjE4YjIiLCJ1c2VySWQiOiI1Mzg0MzA5MzAifQ==</vt:lpwstr>
  </property>
</Properties>
</file>