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10305" w:type="dxa"/>
        <w:jc w:val="center"/>
        <w:tblLayout w:type="fixed"/>
        <w:tblCellMar>
          <w:top w:w="0" w:type="dxa"/>
          <w:left w:w="108" w:type="dxa"/>
          <w:bottom w:w="0" w:type="dxa"/>
          <w:right w:w="108" w:type="dxa"/>
        </w:tblCellMar>
      </w:tblPr>
      <w:tblGrid>
        <w:gridCol w:w="3601"/>
        <w:gridCol w:w="954"/>
        <w:gridCol w:w="851"/>
        <w:gridCol w:w="1132"/>
        <w:gridCol w:w="1114"/>
        <w:gridCol w:w="1084"/>
        <w:gridCol w:w="1569"/>
      </w:tblGrid>
      <w:tr>
        <w:tblPrEx>
          <w:tblCellMar>
            <w:top w:w="0" w:type="dxa"/>
            <w:left w:w="108" w:type="dxa"/>
            <w:bottom w:w="0" w:type="dxa"/>
            <w:right w:w="108" w:type="dxa"/>
          </w:tblCellMar>
        </w:tblPrEx>
        <w:trPr>
          <w:trHeight w:val="368" w:hRule="atLeast"/>
          <w:jc w:val="center"/>
        </w:trPr>
        <w:tc>
          <w:tcPr>
            <w:tcW w:w="36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1805"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653"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368" w:hRule="atLeast"/>
          <w:jc w:val="center"/>
        </w:trPr>
        <w:tc>
          <w:tcPr>
            <w:tcW w:w="3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805"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8</w:t>
            </w:r>
          </w:p>
        </w:tc>
        <w:tc>
          <w:tcPr>
            <w:tcW w:w="224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w:t>
            </w:r>
            <w:r>
              <w:rPr>
                <w:rFonts w:hint="eastAsia" w:ascii="仿宋_GB2312" w:hAnsi="仿宋_GB2312" w:eastAsia="仿宋_GB2312" w:cs="仿宋_GB2312"/>
                <w:sz w:val="20"/>
                <w:szCs w:val="20"/>
                <w:highlight w:val="none"/>
              </w:rPr>
              <w:t>　</w:t>
            </w:r>
          </w:p>
        </w:tc>
        <w:tc>
          <w:tcPr>
            <w:tcW w:w="2653"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110</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101.25</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p>
        </w:tc>
      </w:tr>
      <w:tr>
        <w:tblPrEx>
          <w:tblCellMar>
            <w:top w:w="0" w:type="dxa"/>
            <w:left w:w="108" w:type="dxa"/>
            <w:bottom w:w="0" w:type="dxa"/>
            <w:right w:w="108" w:type="dxa"/>
          </w:tblCellMar>
        </w:tblPrEx>
        <w:trPr>
          <w:trHeight w:val="37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37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trHeight w:val="37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可再生能源，绿色建筑产业发展配套资金</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41.25</w:t>
            </w:r>
          </w:p>
        </w:tc>
      </w:tr>
      <w:tr>
        <w:tblPrEx>
          <w:tblCellMar>
            <w:top w:w="0" w:type="dxa"/>
            <w:left w:w="108" w:type="dxa"/>
            <w:bottom w:w="0" w:type="dxa"/>
            <w:right w:w="108" w:type="dxa"/>
          </w:tblCellMar>
        </w:tblPrEx>
        <w:trPr>
          <w:trHeight w:val="37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中心城区6家烧制建筑用砖生产企业关停退出奖励</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1805"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lang w:val="en-US" w:eastAsia="zh-CN" w:bidi="ar-SA"/>
              </w:rPr>
              <w:t>70.7</w:t>
            </w:r>
          </w:p>
        </w:tc>
        <w:tc>
          <w:tcPr>
            <w:tcW w:w="2246"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19.45</w:t>
            </w:r>
          </w:p>
        </w:tc>
        <w:tc>
          <w:tcPr>
            <w:tcW w:w="2653"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19.44</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sz w:val="20"/>
                <w:szCs w:val="20"/>
                <w:lang w:val="en-US" w:eastAsia="zh-CN"/>
              </w:rPr>
              <w:t>66.86</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18.25</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18.24</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sz w:val="20"/>
                <w:szCs w:val="20"/>
                <w:lang w:val="en-US" w:eastAsia="zh-CN"/>
              </w:rPr>
              <w:t>3.84</w:t>
            </w: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1.2</w:t>
            </w: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000000" w:themeColor="text1"/>
                <w:sz w:val="20"/>
                <w:szCs w:val="2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highlight w:val="none"/>
                <w:lang w:val="en-US" w:eastAsia="zh-CN"/>
                <w14:textFill>
                  <w14:solidFill>
                    <w14:schemeClr w14:val="tx1"/>
                  </w14:solidFill>
                </w14:textFill>
              </w:rPr>
              <w:t>1.2</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1805"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p>
        </w:tc>
        <w:tc>
          <w:tcPr>
            <w:tcW w:w="224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lang w:val="en-US" w:eastAsia="zh-CN"/>
              </w:rPr>
            </w:pPr>
          </w:p>
        </w:tc>
        <w:tc>
          <w:tcPr>
            <w:tcW w:w="265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highlight w:val="none"/>
                <w:lang w:val="en-US" w:eastAsia="zh-CN"/>
              </w:rPr>
            </w:pP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1805"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w:t>
            </w:r>
          </w:p>
        </w:tc>
        <w:tc>
          <w:tcPr>
            <w:tcW w:w="2246"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lang w:val="en-US" w:eastAsia="zh-CN"/>
              </w:rPr>
              <w:t>49.54</w:t>
            </w:r>
          </w:p>
        </w:tc>
        <w:tc>
          <w:tcPr>
            <w:tcW w:w="2653"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color w:val="auto"/>
                <w:kern w:val="0"/>
                <w:sz w:val="20"/>
                <w:szCs w:val="20"/>
                <w:highlight w:val="none"/>
                <w:lang w:val="en-US" w:eastAsia="zh-CN" w:bidi="ar-SA"/>
              </w:rPr>
              <w:t>49.54</w:t>
            </w:r>
          </w:p>
        </w:tc>
      </w:tr>
      <w:tr>
        <w:tblPrEx>
          <w:tblCellMar>
            <w:top w:w="0" w:type="dxa"/>
            <w:left w:w="108" w:type="dxa"/>
            <w:bottom w:w="0" w:type="dxa"/>
            <w:right w:w="108" w:type="dxa"/>
          </w:tblCellMar>
        </w:tblPrEx>
        <w:trPr>
          <w:trHeight w:val="368"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1805"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w:t>
            </w:r>
          </w:p>
        </w:tc>
        <w:tc>
          <w:tcPr>
            <w:tcW w:w="2246"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lang w:val="en-US" w:eastAsia="zh-CN"/>
              </w:rPr>
              <w:t>273.77</w:t>
            </w:r>
          </w:p>
        </w:tc>
        <w:tc>
          <w:tcPr>
            <w:tcW w:w="2653"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360" w:lineRule="exact"/>
              <w:ind w:left="0" w:leftChars="0" w:right="0" w:rightChars="0"/>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color w:val="auto"/>
                <w:kern w:val="0"/>
                <w:sz w:val="20"/>
                <w:szCs w:val="20"/>
                <w:highlight w:val="none"/>
                <w:lang w:val="en-US" w:eastAsia="zh-CN" w:bidi="ar-SA"/>
              </w:rPr>
              <w:t>269.21</w:t>
            </w:r>
            <w:bookmarkStart w:id="0" w:name="_GoBack"/>
            <w:bookmarkEnd w:id="0"/>
          </w:p>
        </w:tc>
      </w:tr>
      <w:tr>
        <w:tblPrEx>
          <w:tblCellMar>
            <w:top w:w="0" w:type="dxa"/>
            <w:left w:w="108" w:type="dxa"/>
            <w:bottom w:w="0" w:type="dxa"/>
            <w:right w:w="108" w:type="dxa"/>
          </w:tblCellMar>
        </w:tblPrEx>
        <w:trPr>
          <w:trHeight w:val="1085"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中心</w:t>
            </w:r>
            <w:r>
              <w:rPr>
                <w:rFonts w:hint="eastAsia" w:ascii="仿宋_GB2312" w:hAnsi="仿宋_GB2312" w:eastAsia="仿宋_GB2312" w:cs="仿宋_GB2312"/>
                <w:sz w:val="20"/>
                <w:szCs w:val="20"/>
                <w:highlight w:val="none"/>
              </w:rPr>
              <w:t>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95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5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3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156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2260" w:hRule="atLeast"/>
          <w:jc w:val="center"/>
        </w:trPr>
        <w:tc>
          <w:tcPr>
            <w:tcW w:w="3601"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704"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1.党员干部起模范带头作用，精打细算，厉行节约。严格控制公用经费。</w:t>
            </w:r>
          </w:p>
          <w:p>
            <w:pPr>
              <w:widowControl/>
              <w:spacing w:line="360" w:lineRule="exact"/>
              <w:jc w:val="both"/>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2.健全管理制度，控制费用增长。</w:t>
            </w:r>
          </w:p>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加强对预算管理及财务收支管理。严格组照“先有预算后有支出”预算管理要求，控制经费预算，对超预算资金严格管控；加强财务收支管理，对支出每笔费用认真审核，对不符合规定的费用拒绝支付，把控资金支付的合规性、合法性、准确性。</w:t>
            </w:r>
          </w:p>
        </w:tc>
      </w:tr>
    </w:tbl>
    <w:p>
      <w:pPr>
        <w:widowControl/>
        <w:spacing w:afterLines="0" w:line="400" w:lineRule="exact"/>
        <w:ind w:left="0" w:firstLine="0" w:firstLineChars="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:李英</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2025.5.15</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13337207333</w:t>
      </w:r>
      <w:r>
        <w:rPr>
          <w:rFonts w:hint="default" w:ascii="Times New Roman" w:hAnsi="Times New Roman" w:eastAsia="仿宋_GB2312" w:cs="Times New Roman"/>
          <w:sz w:val="22"/>
          <w:highlight w:val="none"/>
        </w:rPr>
        <w:t xml:space="preserve">    单位负责人签字：</w:t>
      </w:r>
    </w:p>
    <w:p>
      <w:pPr>
        <w:widowControl/>
        <w:spacing w:after="0" w:afterLines="0" w:line="4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0" w:afterLines="0" w:line="400" w:lineRule="exact"/>
        <w:jc w:val="left"/>
        <w:rPr>
          <w:rFonts w:hint="eastAsia" w:ascii="黑体" w:hAnsi="黑体" w:eastAsia="黑体" w:cs="黑体"/>
          <w:sz w:val="32"/>
          <w:szCs w:val="32"/>
          <w:highlight w:val="none"/>
          <w:lang w:val="en-US" w:eastAsia="zh-CN"/>
        </w:rPr>
      </w:pP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fixed"/>
        <w:tblCellMar>
          <w:top w:w="0" w:type="dxa"/>
          <w:left w:w="108" w:type="dxa"/>
          <w:bottom w:w="0" w:type="dxa"/>
          <w:right w:w="108" w:type="dxa"/>
        </w:tblCellMar>
      </w:tblPr>
      <w:tblGrid>
        <w:gridCol w:w="938"/>
        <w:gridCol w:w="1080"/>
        <w:gridCol w:w="975"/>
        <w:gridCol w:w="1965"/>
        <w:gridCol w:w="1335"/>
        <w:gridCol w:w="1020"/>
        <w:gridCol w:w="720"/>
        <w:gridCol w:w="885"/>
        <w:gridCol w:w="1161"/>
      </w:tblGrid>
      <w:tr>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141"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55"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96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3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02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2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8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16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40" w:hRule="atLeast"/>
          <w:jc w:val="center"/>
        </w:trPr>
        <w:tc>
          <w:tcPr>
            <w:tcW w:w="938"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055"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96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188.15</w:t>
            </w:r>
          </w:p>
        </w:tc>
        <w:tc>
          <w:tcPr>
            <w:tcW w:w="133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284.86</w:t>
            </w:r>
          </w:p>
        </w:tc>
        <w:tc>
          <w:tcPr>
            <w:tcW w:w="102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280.30</w:t>
            </w:r>
          </w:p>
        </w:tc>
        <w:tc>
          <w:tcPr>
            <w:tcW w:w="72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8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98.39%</w:t>
            </w:r>
          </w:p>
        </w:tc>
        <w:tc>
          <w:tcPr>
            <w:tcW w:w="116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9.84</w:t>
            </w:r>
          </w:p>
        </w:tc>
      </w:tr>
      <w:tr>
        <w:tblPrEx>
          <w:tblCellMar>
            <w:top w:w="0" w:type="dxa"/>
            <w:left w:w="108" w:type="dxa"/>
            <w:bottom w:w="0" w:type="dxa"/>
            <w:right w:w="108" w:type="dxa"/>
          </w:tblCellMar>
        </w:tblPrEx>
        <w:trPr>
          <w:trHeight w:val="355" w:hRule="atLeast"/>
          <w:jc w:val="center"/>
        </w:trPr>
        <w:tc>
          <w:tcPr>
            <w:tcW w:w="93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35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378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trHeight w:val="340" w:hRule="atLeast"/>
          <w:jc w:val="center"/>
        </w:trPr>
        <w:tc>
          <w:tcPr>
            <w:tcW w:w="93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35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269.21</w:t>
            </w:r>
          </w:p>
        </w:tc>
        <w:tc>
          <w:tcPr>
            <w:tcW w:w="378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179.05</w:t>
            </w:r>
          </w:p>
        </w:tc>
      </w:tr>
      <w:tr>
        <w:tblPrEx>
          <w:tblCellMar>
            <w:top w:w="0" w:type="dxa"/>
            <w:left w:w="108" w:type="dxa"/>
            <w:bottom w:w="0" w:type="dxa"/>
            <w:right w:w="108" w:type="dxa"/>
          </w:tblCellMar>
        </w:tblPrEx>
        <w:trPr>
          <w:trHeight w:val="340" w:hRule="atLeast"/>
          <w:jc w:val="center"/>
        </w:trPr>
        <w:tc>
          <w:tcPr>
            <w:tcW w:w="93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35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0.00</w:t>
            </w:r>
          </w:p>
        </w:tc>
        <w:tc>
          <w:tcPr>
            <w:tcW w:w="3786"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101.25</w:t>
            </w:r>
          </w:p>
        </w:tc>
      </w:tr>
      <w:tr>
        <w:tblPrEx>
          <w:tblCellMar>
            <w:top w:w="0" w:type="dxa"/>
            <w:left w:w="108" w:type="dxa"/>
            <w:bottom w:w="0" w:type="dxa"/>
            <w:right w:w="108" w:type="dxa"/>
          </w:tblCellMar>
        </w:tblPrEx>
        <w:trPr>
          <w:trHeight w:val="340" w:hRule="atLeast"/>
          <w:jc w:val="center"/>
        </w:trPr>
        <w:tc>
          <w:tcPr>
            <w:tcW w:w="938"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35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0.00</w:t>
            </w:r>
          </w:p>
        </w:tc>
        <w:tc>
          <w:tcPr>
            <w:tcW w:w="378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15" w:hRule="atLeast"/>
          <w:jc w:val="center"/>
        </w:trPr>
        <w:tc>
          <w:tcPr>
            <w:tcW w:w="938"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35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11.09</w:t>
            </w:r>
          </w:p>
        </w:tc>
        <w:tc>
          <w:tcPr>
            <w:tcW w:w="3786"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60" w:hRule="atLeast"/>
          <w:jc w:val="center"/>
        </w:trPr>
        <w:tc>
          <w:tcPr>
            <w:tcW w:w="938"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35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938"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535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障岳阳市绿色建筑产业发展服务中心业务工作的正常运行、具体目标如下：1、可再生资源、绿色建筑产业发展配套项目具体目标如下：可再生能源项目评定和展示；既有建筑节能改造项目评审工作；可再生能源、建筑节能、和绿色建筑应用宣传培训；建材系统维护和数据公示；2、绿色建筑产业发展和散装水泥管理项目具体目标如下：对全市企业的生产工艺、环保达标、产品质量进行一次全面检查；对全市家预拌混凝土和预拌砂浆生产企业的原材料、产品质量以及生产、环保、运输情况进行一次全面检查，对原材料和出厂产品进行取样检测；对全市装配式建筑部品部件企业的质量管理体系、生产设备、试验室运行情况；原材料、构配件、产品出厂质量控制情况进行一次全面检查；从全市节能防水材料生产、使用端抽取10-20家单进行检查，主要检查材料性能是否符合国家标准</w:t>
            </w:r>
          </w:p>
        </w:tc>
        <w:tc>
          <w:tcPr>
            <w:tcW w:w="378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项目评定和展示10家</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完成了</w:t>
            </w:r>
            <w:r>
              <w:rPr>
                <w:rFonts w:hint="eastAsia" w:ascii="仿宋_GB2312" w:hAnsi="仿宋_GB2312" w:eastAsia="仿宋_GB2312" w:cs="仿宋_GB2312"/>
                <w:color w:val="000000"/>
                <w:sz w:val="20"/>
                <w:szCs w:val="20"/>
                <w:highlight w:val="none"/>
              </w:rPr>
              <w:t>可再生能源、建筑节能、和绿色建筑应用宣传培训、建材管理系统维护和数据公示</w:t>
            </w:r>
            <w:r>
              <w:rPr>
                <w:rFonts w:hint="eastAsia" w:ascii="仿宋_GB2312" w:hAnsi="仿宋_GB2312" w:eastAsia="仿宋_GB2312" w:cs="仿宋_GB2312"/>
                <w:color w:val="000000"/>
                <w:sz w:val="20"/>
                <w:szCs w:val="20"/>
                <w:highlight w:val="none"/>
                <w:lang w:eastAsia="zh-CN"/>
              </w:rPr>
              <w:t>四批</w:t>
            </w:r>
          </w:p>
        </w:tc>
      </w:tr>
      <w:tr>
        <w:tblPrEx>
          <w:tblCellMar>
            <w:top w:w="0" w:type="dxa"/>
            <w:left w:w="108" w:type="dxa"/>
            <w:bottom w:w="0" w:type="dxa"/>
            <w:right w:w="108" w:type="dxa"/>
          </w:tblCellMar>
        </w:tblPrEx>
        <w:trPr>
          <w:jc w:val="center"/>
        </w:trPr>
        <w:tc>
          <w:tcPr>
            <w:tcW w:w="938"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35"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w:t>
            </w:r>
          </w:p>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标值</w:t>
            </w:r>
          </w:p>
        </w:tc>
        <w:tc>
          <w:tcPr>
            <w:tcW w:w="1020"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成值</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16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可再生能源项目评定和展示、既有建筑节能改造项目评审</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10家</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绿色建材、新型墙体材料的质量检测</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113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项目星级评定</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10个</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10个</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4" w:hRule="atLeast"/>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质量检测（满足检测标准）</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113</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113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城镇新建建筑节能标准施工执行率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ascii="宋体" w:hAnsi="宋体" w:eastAsia="宋体" w:cs="宋体"/>
                <w:i w:val="0"/>
                <w:iCs w:val="0"/>
                <w:color w:val="000000"/>
                <w:kern w:val="0"/>
                <w:sz w:val="14"/>
                <w:szCs w:val="14"/>
                <w:u w:val="none"/>
                <w:lang w:val="en-US" w:eastAsia="zh-CN" w:bidi="ar"/>
              </w:rPr>
              <w:t>≥</w:t>
            </w:r>
            <w:r>
              <w:rPr>
                <w:rFonts w:hint="eastAsia" w:ascii="宋体" w:hAnsi="宋体" w:eastAsia="宋体" w:cs="宋体"/>
                <w:i w:val="0"/>
                <w:iCs w:val="0"/>
                <w:color w:val="000000"/>
                <w:kern w:val="0"/>
                <w:sz w:val="14"/>
                <w:szCs w:val="14"/>
                <w:u w:val="none"/>
                <w:lang w:val="en-US" w:eastAsia="zh-CN" w:bidi="ar"/>
              </w:rPr>
              <w:t>50%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ascii="宋体" w:hAnsi="宋体" w:eastAsia="宋体" w:cs="宋体"/>
                <w:i w:val="0"/>
                <w:iCs w:val="0"/>
                <w:color w:val="000000"/>
                <w:kern w:val="0"/>
                <w:sz w:val="14"/>
                <w:szCs w:val="14"/>
                <w:u w:val="none"/>
                <w:lang w:val="en-US" w:eastAsia="zh-CN" w:bidi="ar"/>
              </w:rPr>
              <w:t>5</w:t>
            </w:r>
            <w:r>
              <w:rPr>
                <w:rFonts w:hint="eastAsia" w:ascii="宋体" w:hAnsi="宋体" w:eastAsia="宋体" w:cs="宋体"/>
                <w:i w:val="0"/>
                <w:iCs w:val="0"/>
                <w:color w:val="000000"/>
                <w:kern w:val="0"/>
                <w:sz w:val="14"/>
                <w:szCs w:val="14"/>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宋体" w:hAnsi="宋体" w:eastAsia="宋体" w:cs="宋体"/>
                <w:i w:val="0"/>
                <w:iCs w:val="0"/>
                <w:color w:val="000000"/>
                <w:kern w:val="0"/>
                <w:sz w:val="14"/>
                <w:szCs w:val="14"/>
                <w:u w:val="none"/>
                <w:lang w:val="en-US" w:eastAsia="zh-CN" w:bidi="ar"/>
              </w:rPr>
              <w:t>10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宋体" w:hAnsi="宋体" w:eastAsia="宋体" w:cs="宋体"/>
                <w:i w:val="0"/>
                <w:iCs w:val="0"/>
                <w:color w:val="000000"/>
                <w:kern w:val="0"/>
                <w:sz w:val="14"/>
                <w:szCs w:val="14"/>
                <w:u w:val="none"/>
                <w:lang w:val="en-US" w:eastAsia="zh-CN" w:bidi="ar"/>
              </w:rPr>
              <w:t>10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本年内</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定性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12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宋体" w:hAnsi="宋体" w:eastAsia="宋体" w:cs="宋体"/>
                <w:i w:val="0"/>
                <w:iCs w:val="0"/>
                <w:color w:val="000000"/>
                <w:kern w:val="0"/>
                <w:sz w:val="14"/>
                <w:szCs w:val="14"/>
                <w:u w:val="none"/>
                <w:lang w:val="en-US" w:eastAsia="zh-CN" w:bidi="ar"/>
              </w:rPr>
              <w:t>10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宋体" w:hAnsi="宋体" w:eastAsia="宋体" w:cs="宋体"/>
                <w:i w:val="0"/>
                <w:iCs w:val="0"/>
                <w:color w:val="000000"/>
                <w:kern w:val="0"/>
                <w:sz w:val="14"/>
                <w:szCs w:val="14"/>
                <w:u w:val="none"/>
                <w:lang w:val="en-US" w:eastAsia="zh-CN" w:bidi="ar"/>
              </w:rPr>
              <w:t>10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预算控制数</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ascii="宋体" w:hAnsi="宋体" w:eastAsia="宋体" w:cs="宋体"/>
                <w:i w:val="0"/>
                <w:iCs w:val="0"/>
                <w:color w:val="000000"/>
                <w:kern w:val="0"/>
                <w:sz w:val="14"/>
                <w:szCs w:val="14"/>
                <w:u w:val="none"/>
                <w:lang w:val="en-US" w:eastAsia="zh-CN" w:bidi="ar"/>
              </w:rPr>
              <w:t>定性</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预算内</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生产企业交纳税款</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提高社会公众的节能环保意识,改变普通市民对建筑用能的传统观念。</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提高社会公众的节能环保意识</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减轻环境污染，改善环境</w:t>
            </w:r>
          </w:p>
        </w:tc>
        <w:tc>
          <w:tcPr>
            <w:tcW w:w="133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有效减少环境污染</w:t>
            </w:r>
          </w:p>
        </w:tc>
        <w:tc>
          <w:tcPr>
            <w:tcW w:w="10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lang w:val="en-US" w:eastAsia="zh-CN"/>
              </w:rPr>
              <w:t xml:space="preserve"> </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8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6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938"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提高全社会的节能环保意识、倡导绿色低碳</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倡导绿色低碳</w:t>
            </w:r>
            <w:r>
              <w:rPr>
                <w:rFonts w:hint="eastAsia" w:ascii="仿宋_GB2312" w:hAnsi="仿宋_GB2312" w:eastAsia="仿宋_GB2312" w:cs="仿宋_GB2312"/>
                <w:color w:val="000000"/>
                <w:sz w:val="20"/>
                <w:szCs w:val="20"/>
                <w:highlight w:val="none"/>
                <w:lang w:eastAsia="zh-CN"/>
              </w:rPr>
              <w:t>可持续</w:t>
            </w:r>
            <w:r>
              <w:rPr>
                <w:rFonts w:hint="eastAsia" w:ascii="仿宋_GB2312" w:hAnsi="仿宋_GB2312" w:eastAsia="仿宋_GB2312" w:cs="仿宋_GB2312"/>
                <w:color w:val="000000"/>
                <w:sz w:val="20"/>
                <w:szCs w:val="20"/>
                <w:highlight w:val="none"/>
              </w:rPr>
              <w:t>影响</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生产企业项目评审，评定的初审、报批</w:t>
            </w:r>
          </w:p>
        </w:tc>
        <w:tc>
          <w:tcPr>
            <w:tcW w:w="133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0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8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6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938"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9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33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02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8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16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5" w:hRule="atLeast"/>
          <w:jc w:val="center"/>
        </w:trPr>
        <w:tc>
          <w:tcPr>
            <w:tcW w:w="7313"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8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6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李英</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2025.5.15</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1333720733</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sz w:val="32"/>
          <w:szCs w:val="32"/>
          <w:highlight w:val="none"/>
          <w:lang w:val="en-US" w:eastAsia="zh-CN"/>
        </w:rPr>
      </w:pP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绿色建筑产业发展和散装水泥管理　</w:t>
            </w:r>
          </w:p>
        </w:tc>
      </w:tr>
      <w:tr>
        <w:tblPrEx>
          <w:tblCellMar>
            <w:top w:w="0" w:type="dxa"/>
            <w:left w:w="108" w:type="dxa"/>
            <w:bottom w:w="0" w:type="dxa"/>
            <w:right w:w="108" w:type="dxa"/>
          </w:tblCellMar>
        </w:tblPrEx>
        <w:trPr>
          <w:trHeight w:val="335"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3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3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sz w:val="20"/>
                <w:szCs w:val="20"/>
                <w:highlight w:val="none"/>
              </w:rPr>
              <w:t>中心城区6家烧制建筑用砖生产企业关停退出奖励</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中心城区6家烧制建筑用砖生产企业关停退出奖励</w:t>
            </w:r>
            <w:r>
              <w:rPr>
                <w:rFonts w:hint="eastAsia" w:ascii="仿宋_GB2312" w:hAnsi="仿宋_GB2312" w:eastAsia="仿宋_GB2312" w:cs="仿宋_GB2312"/>
                <w:sz w:val="20"/>
                <w:szCs w:val="20"/>
                <w:highlight w:val="none"/>
                <w:lang w:eastAsia="zh-CN"/>
              </w:rPr>
              <w:t>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trHeight w:val="48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6家企业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6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本年内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本年内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7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60万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4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减少污染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减少污染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45"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18"/>
          <w:szCs w:val="18"/>
          <w:highlight w:val="none"/>
          <w:lang w:eastAsia="zh-CN"/>
        </w:rPr>
      </w:pP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李英</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2025.5.15</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1333720733</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可再生能源、绿色建筑产业发展配套资金　</w:t>
            </w:r>
          </w:p>
        </w:tc>
      </w:tr>
      <w:tr>
        <w:tblPrEx>
          <w:tblCellMar>
            <w:top w:w="0" w:type="dxa"/>
            <w:left w:w="108" w:type="dxa"/>
            <w:bottom w:w="0" w:type="dxa"/>
            <w:right w:w="108" w:type="dxa"/>
          </w:tblCellMar>
        </w:tblPrEx>
        <w:trPr>
          <w:trHeight w:val="41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40.87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w:t>
            </w:r>
          </w:p>
        </w:tc>
      </w:tr>
      <w:tr>
        <w:tblPrEx>
          <w:tblCellMar>
            <w:top w:w="0" w:type="dxa"/>
            <w:left w:w="108" w:type="dxa"/>
            <w:bottom w:w="0" w:type="dxa"/>
            <w:right w:w="108" w:type="dxa"/>
          </w:tblCellMar>
        </w:tblPrEx>
        <w:trPr>
          <w:trHeight w:val="3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40.87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具体目标如下：一、项目评定和展示≥10家、二、既有建筑节能改造项目评审工作、三、可再生能源、建筑节能、和绿色建筑应用宣传培训、四、建材管理系统维护和数据公示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一、项目评定和展示10家、二、</w:t>
            </w: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rPr>
              <w:t>既有建筑节能改造项目评审工作、三、</w:t>
            </w:r>
            <w:r>
              <w:rPr>
                <w:rFonts w:hint="eastAsia" w:ascii="仿宋_GB2312" w:hAnsi="仿宋_GB2312" w:eastAsia="仿宋_GB2312" w:cs="仿宋_GB2312"/>
                <w:color w:val="000000"/>
                <w:sz w:val="20"/>
                <w:szCs w:val="20"/>
                <w:highlight w:val="none"/>
                <w:lang w:eastAsia="zh-CN"/>
              </w:rPr>
              <w:t>完成</w:t>
            </w:r>
            <w:r>
              <w:rPr>
                <w:rFonts w:hint="eastAsia" w:ascii="仿宋_GB2312" w:hAnsi="仿宋_GB2312" w:eastAsia="仿宋_GB2312" w:cs="仿宋_GB2312"/>
                <w:color w:val="000000"/>
                <w:sz w:val="20"/>
                <w:szCs w:val="20"/>
                <w:highlight w:val="none"/>
              </w:rPr>
              <w:t>可再生能源、建筑节能、和绿色建筑应用宣传培训、四、建材管理系统维护和数据公示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项目评定和展示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10家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通过检查或验收</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10家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城镇新建建筑节能标准施工执行率</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2"/>
                <w:sz w:val="20"/>
                <w:szCs w:val="20"/>
                <w:highlight w:val="none"/>
                <w:u w:val="none"/>
                <w:lang w:val="en-US" w:eastAsia="zh-CN" w:bidi="ar"/>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50%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40.87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lang w:val="en-US" w:eastAsia="zh-CN"/>
              </w:rPr>
              <w:t>绿色建筑竣工面积比率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提高社会公众的节能环保意识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显著提高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减轻环境污染，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逐步改善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提高全社会的节能、环保意识、倡导绿色低碳发展理念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2"/>
                <w:sz w:val="20"/>
                <w:szCs w:val="20"/>
                <w:highlight w:val="none"/>
                <w:u w:val="none"/>
                <w:lang w:val="en-US" w:eastAsia="zh-CN" w:bidi="ar"/>
              </w:rPr>
              <w:t>不断提高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企业</w:t>
            </w:r>
            <w:r>
              <w:rPr>
                <w:rFonts w:hint="eastAsia" w:ascii="仿宋_GB2312" w:hAnsi="仿宋_GB2312" w:eastAsia="仿宋_GB2312" w:cs="仿宋_GB2312"/>
                <w:color w:val="000000"/>
                <w:sz w:val="20"/>
                <w:szCs w:val="20"/>
                <w:highlight w:val="none"/>
              </w:rPr>
              <w:t>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eastAsia" w:ascii="Times New Roman" w:hAnsi="Times New Roman" w:eastAsia="仿宋_GB2312" w:cs="Times New Roman"/>
          <w:sz w:val="18"/>
          <w:szCs w:val="18"/>
          <w:highlight w:val="none"/>
          <w:lang w:eastAsia="zh-CN"/>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填表人：</w:t>
      </w:r>
      <w:r>
        <w:rPr>
          <w:rFonts w:hint="eastAsia" w:eastAsia="仿宋_GB2312" w:cs="Times New Roman"/>
          <w:sz w:val="22"/>
          <w:szCs w:val="22"/>
          <w:highlight w:val="none"/>
          <w:lang w:eastAsia="zh-CN"/>
        </w:rPr>
        <w:t>李英</w:t>
      </w:r>
      <w:r>
        <w:rPr>
          <w:rFonts w:hint="default" w:ascii="Times New Roman" w:hAnsi="Times New Roman" w:eastAsia="仿宋_GB2312" w:cs="Times New Roman"/>
          <w:sz w:val="22"/>
          <w:szCs w:val="22"/>
          <w:highlight w:val="none"/>
        </w:rPr>
        <w:t xml:space="preserve">      填报日期：</w:t>
      </w:r>
      <w:r>
        <w:rPr>
          <w:rFonts w:hint="eastAsia" w:eastAsia="仿宋_GB2312" w:cs="Times New Roman"/>
          <w:sz w:val="22"/>
          <w:szCs w:val="22"/>
          <w:highlight w:val="none"/>
          <w:lang w:val="en-US" w:eastAsia="zh-CN"/>
        </w:rPr>
        <w:t>2025.5.15</w:t>
      </w:r>
      <w:r>
        <w:rPr>
          <w:rFonts w:hint="default" w:ascii="Times New Roman" w:hAnsi="Times New Roman" w:eastAsia="仿宋_GB2312" w:cs="Times New Roman"/>
          <w:sz w:val="22"/>
          <w:szCs w:val="22"/>
          <w:highlight w:val="none"/>
        </w:rPr>
        <w:t xml:space="preserve">    联系电话：</w:t>
      </w:r>
      <w:r>
        <w:rPr>
          <w:rFonts w:hint="eastAsia" w:eastAsia="仿宋_GB2312" w:cs="Times New Roman"/>
          <w:sz w:val="22"/>
          <w:szCs w:val="22"/>
          <w:highlight w:val="none"/>
          <w:lang w:val="en-US" w:eastAsia="zh-CN"/>
        </w:rPr>
        <w:t>1333720733</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岳阳市绿色建筑产业发展服务中心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eastAsia="楷体_GB2312" w:cs="Times New Roman"/>
          <w:sz w:val="32"/>
          <w:szCs w:val="32"/>
          <w:highlight w:val="none"/>
          <w:lang w:val="en-US" w:eastAsia="zh-CN"/>
        </w:rPr>
        <w:t>2025</w:t>
      </w:r>
      <w:r>
        <w:rPr>
          <w:rFonts w:hint="default" w:ascii="Times New Roman" w:hAnsi="Times New Roman" w:eastAsia="楷体_GB2312" w:cs="Times New Roman"/>
          <w:sz w:val="32"/>
          <w:szCs w:val="32"/>
          <w:highlight w:val="none"/>
        </w:rPr>
        <w:t xml:space="preserve">年  </w:t>
      </w:r>
      <w:r>
        <w:rPr>
          <w:rFonts w:hint="eastAsia" w:eastAsia="楷体_GB2312" w:cs="Times New Roman"/>
          <w:sz w:val="32"/>
          <w:szCs w:val="32"/>
          <w:highlight w:val="none"/>
          <w:lang w:val="en-US" w:eastAsia="zh-CN"/>
        </w:rPr>
        <w:t>5</w:t>
      </w:r>
      <w:r>
        <w:rPr>
          <w:rFonts w:hint="default" w:ascii="Times New Roman" w:hAnsi="Times New Roman" w:eastAsia="楷体_GB2312" w:cs="Times New Roman"/>
          <w:sz w:val="32"/>
          <w:szCs w:val="32"/>
          <w:highlight w:val="none"/>
        </w:rPr>
        <w:t xml:space="preserve">月 </w:t>
      </w:r>
      <w:r>
        <w:rPr>
          <w:rFonts w:hint="eastAsia" w:eastAsia="楷体_GB2312" w:cs="Times New Roman"/>
          <w:sz w:val="32"/>
          <w:szCs w:val="32"/>
          <w:highlight w:val="none"/>
          <w:lang w:val="en-US" w:eastAsia="zh-CN"/>
        </w:rPr>
        <w:t>15</w:t>
      </w:r>
      <w:r>
        <w:rPr>
          <w:rFonts w:hint="default" w:ascii="Times New Roman" w:hAnsi="Times New Roman" w:eastAsia="楷体_GB2312" w:cs="Times New Roman"/>
          <w:sz w:val="32"/>
          <w:szCs w:val="32"/>
          <w:highlight w:val="none"/>
        </w:rPr>
        <w:t xml:space="preserve"> 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default" w:ascii="Times New Roman" w:hAnsi="Times New Roman" w:eastAsia="仿宋_GB2312" w:cs="Times New Roman"/>
          <w:sz w:val="32"/>
          <w:szCs w:val="32"/>
          <w:highlight w:val="none"/>
        </w:rPr>
      </w:pPr>
    </w:p>
    <w:p>
      <w:pPr>
        <w:jc w:val="center"/>
        <w:rPr>
          <w:rFonts w:hint="default" w:ascii="Times New Roman" w:hAnsi="Times New Roman" w:eastAsia="仿宋_GB2312" w:cs="Times New Roman"/>
          <w:sz w:val="32"/>
          <w:szCs w:val="32"/>
          <w:highlight w:val="none"/>
        </w:rPr>
      </w:pPr>
    </w:p>
    <w:p>
      <w:pPr>
        <w:jc w:val="center"/>
        <w:rPr>
          <w:rFonts w:hint="default" w:ascii="Times New Roman" w:hAnsi="Times New Roman" w:eastAsia="仿宋_GB2312" w:cs="Times New Roman"/>
          <w:sz w:val="32"/>
          <w:szCs w:val="32"/>
          <w:highlight w:val="none"/>
        </w:rPr>
      </w:pPr>
    </w:p>
    <w:p>
      <w:pPr>
        <w:jc w:val="center"/>
        <w:rPr>
          <w:rFonts w:hint="default" w:ascii="Times New Roman" w:hAnsi="Times New Roman" w:eastAsia="仿宋_GB2312" w:cs="Times New Roman"/>
          <w:sz w:val="32"/>
          <w:szCs w:val="32"/>
          <w:highlight w:val="none"/>
        </w:rPr>
      </w:pPr>
    </w:p>
    <w:p>
      <w:pPr>
        <w:jc w:val="center"/>
        <w:rPr>
          <w:rFonts w:hint="default" w:ascii="Times New Roman" w:hAnsi="Times New Roman" w:eastAsia="仿宋_GB2312" w:cs="Times New Roman"/>
          <w:sz w:val="32"/>
          <w:szCs w:val="32"/>
          <w:highlight w:val="none"/>
        </w:rPr>
      </w:pPr>
    </w:p>
    <w:p>
      <w:pPr>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岳阳市绿色建筑产业发展服务中心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1.为局机关提供支持保障的职能：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①贯彻执行《湖南省绿色建筑发展条例》、《湖南省民用建筑节能条例》、《湖南省新型墙体材料推广应用条例》、《湖南省散装水泥条例》等法律法规和政策规定，结合岳阳市实际情况，拟定本市相关政策措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②承担绿色建筑、建筑节能、新型墙体材料、散装水泥（含预拌混凝土、预拌砂浆、水泥制品）的技术检查工作及相关政策标准执行过程中违法违规行为查处的事务性工作。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③负责绿色建筑、新型墙体材料、散装水泥（预拌混凝土、预拌砂浆、水泥制品）、建筑节能的推广应用、质量监督、绿色发展及参与建筑工程竣工验收等事务性工作。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④负责工程建设领域内部新型墙体材料、散装水泥推广应用工作，承担新型墙体材料、预拌混凝土、预拌砂浆认证认定事务性工作。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⑤负责组织全市绿色建筑及相关的建筑节能、推广散装水泥、墙体材料革新和推广装配式建筑的技术培训、信息交流、情况统计及宣传普及工作。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⑥指导全市各县市区墙体材料改革、散装水泥、绿色建筑、建筑节能、装配式建筑等行业工作。</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2.面向社会提供公益服务的职能：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①负责监督指导全市新型墙体材料、散装水泥、预拌混凝土、预拌砂浆、装配式建筑、建筑节能等新型建筑材料的产品质量建设；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②负责指导全市新建、改建、扩建新型墙体材料项目产品研发、生产技术和工艺；指导全市新型墙体材料产品升级认定和淘汰落后产能工作；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③负责指导协调全市散装水泥的生产、运输、使用以及新建、扩建预拌混凝土和预拌砂浆项目工作。</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3.完成市住房和城乡建设局交办的其他任务。</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年度财政拨款基本支出</w:t>
      </w:r>
      <w:r>
        <w:rPr>
          <w:rFonts w:hint="eastAsia" w:ascii="仿宋" w:hAnsi="仿宋" w:eastAsia="仿宋" w:cs="仿宋"/>
          <w:color w:val="auto"/>
          <w:sz w:val="32"/>
          <w:szCs w:val="32"/>
          <w:highlight w:val="none"/>
          <w:lang w:val="en-US" w:eastAsia="zh-CN"/>
        </w:rPr>
        <w:t>167.97</w:t>
      </w:r>
      <w:r>
        <w:rPr>
          <w:rFonts w:hint="eastAsia" w:ascii="仿宋" w:hAnsi="仿宋" w:eastAsia="仿宋" w:cs="仿宋"/>
          <w:color w:val="auto"/>
          <w:sz w:val="32"/>
          <w:szCs w:val="32"/>
          <w:highlight w:val="none"/>
        </w:rPr>
        <w:t>万元，其中：人员经费</w:t>
      </w:r>
      <w:r>
        <w:rPr>
          <w:rFonts w:hint="eastAsia" w:ascii="仿宋" w:hAnsi="仿宋" w:eastAsia="仿宋" w:cs="仿宋"/>
          <w:color w:val="auto"/>
          <w:sz w:val="32"/>
          <w:szCs w:val="32"/>
          <w:highlight w:val="none"/>
          <w:lang w:val="en-US" w:eastAsia="zh-CN"/>
        </w:rPr>
        <w:t>148.53</w:t>
      </w:r>
      <w:r>
        <w:rPr>
          <w:rFonts w:hint="eastAsia" w:ascii="仿宋" w:hAnsi="仿宋" w:eastAsia="仿宋" w:cs="仿宋"/>
          <w:color w:val="auto"/>
          <w:sz w:val="32"/>
          <w:szCs w:val="32"/>
          <w:highlight w:val="none"/>
        </w:rPr>
        <w:t>万元，占基本支出的</w:t>
      </w:r>
      <w:r>
        <w:rPr>
          <w:rFonts w:hint="eastAsia" w:ascii="仿宋" w:hAnsi="仿宋" w:eastAsia="仿宋" w:cs="仿宋"/>
          <w:color w:val="auto"/>
          <w:sz w:val="32"/>
          <w:szCs w:val="32"/>
          <w:highlight w:val="none"/>
          <w:lang w:val="en-US" w:eastAsia="zh-CN"/>
        </w:rPr>
        <w:t>88.43%</w:t>
      </w:r>
      <w:r>
        <w:rPr>
          <w:rFonts w:hint="eastAsia" w:ascii="仿宋" w:hAnsi="仿宋" w:eastAsia="仿宋" w:cs="仿宋"/>
          <w:color w:val="auto"/>
          <w:sz w:val="32"/>
          <w:szCs w:val="32"/>
          <w:highlight w:val="none"/>
        </w:rPr>
        <w:t>,主要包括主要包括基本工资、津贴补贴、</w:t>
      </w:r>
      <w:r>
        <w:rPr>
          <w:rFonts w:hint="eastAsia" w:ascii="仿宋" w:hAnsi="仿宋" w:eastAsia="仿宋" w:cs="仿宋"/>
          <w:color w:val="auto"/>
          <w:sz w:val="32"/>
          <w:szCs w:val="32"/>
          <w:highlight w:val="non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 w:hAnsi="仿宋" w:eastAsia="仿宋" w:cs="仿宋"/>
          <w:color w:val="auto"/>
          <w:sz w:val="32"/>
          <w:szCs w:val="32"/>
          <w:highlight w:val="none"/>
        </w:rPr>
        <w:t>；</w:t>
      </w:r>
    </w:p>
    <w:p>
      <w:pPr>
        <w:pStyle w:val="11"/>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
          <w:bCs/>
          <w:color w:val="auto"/>
          <w:spacing w:val="18"/>
          <w:position w:val="23"/>
          <w:sz w:val="32"/>
          <w:szCs w:val="32"/>
          <w:highlight w:val="none"/>
        </w:rPr>
      </w:pPr>
      <w:r>
        <w:rPr>
          <w:rFonts w:hint="eastAsia" w:ascii="仿宋" w:hAnsi="仿宋" w:eastAsia="仿宋" w:cs="仿宋"/>
          <w:color w:val="auto"/>
          <w:sz w:val="32"/>
          <w:szCs w:val="32"/>
          <w:highlight w:val="none"/>
          <w:lang w:val="zh-CN"/>
        </w:rPr>
        <w:t>公用经费</w:t>
      </w:r>
      <w:r>
        <w:rPr>
          <w:rFonts w:hint="eastAsia" w:ascii="仿宋" w:hAnsi="仿宋" w:eastAsia="仿宋" w:cs="仿宋"/>
          <w:color w:val="auto"/>
          <w:sz w:val="32"/>
          <w:szCs w:val="32"/>
          <w:highlight w:val="none"/>
          <w:lang w:val="en-US" w:eastAsia="zh-CN"/>
        </w:rPr>
        <w:t>19.44</w:t>
      </w:r>
      <w:r>
        <w:rPr>
          <w:rFonts w:hint="eastAsia" w:ascii="仿宋" w:hAnsi="仿宋" w:eastAsia="仿宋" w:cs="仿宋"/>
          <w:color w:val="auto"/>
          <w:sz w:val="32"/>
          <w:szCs w:val="32"/>
          <w:highlight w:val="none"/>
          <w:lang w:val="zh-CN"/>
        </w:rPr>
        <w:t>万元，占基本支出的</w:t>
      </w:r>
      <w:r>
        <w:rPr>
          <w:rFonts w:hint="eastAsia" w:ascii="仿宋" w:hAnsi="仿宋" w:eastAsia="仿宋" w:cs="仿宋"/>
          <w:color w:val="auto"/>
          <w:sz w:val="32"/>
          <w:szCs w:val="32"/>
          <w:highlight w:val="none"/>
          <w:lang w:val="en-US" w:eastAsia="zh-CN"/>
        </w:rPr>
        <w:t>11.57%</w:t>
      </w:r>
      <w:r>
        <w:rPr>
          <w:rFonts w:hint="eastAsia" w:ascii="仿宋" w:hAnsi="仿宋" w:eastAsia="仿宋" w:cs="仿宋"/>
          <w:color w:val="auto"/>
          <w:sz w:val="32"/>
          <w:szCs w:val="32"/>
          <w:highlight w:val="none"/>
          <w:lang w:val="zh-CN"/>
        </w:rPr>
        <w:t>，主要包括办公费、印刷费</w:t>
      </w:r>
      <w:r>
        <w:rPr>
          <w:rFonts w:hint="eastAsia" w:ascii="仿宋" w:hAnsi="仿宋" w:eastAsia="仿宋" w:cs="仿宋"/>
          <w:color w:val="auto"/>
          <w:sz w:val="32"/>
          <w:szCs w:val="32"/>
          <w:highlight w:val="none"/>
          <w:lang w:val="en-US" w:eastAsia="zh-CN"/>
        </w:rPr>
        <w:t>等。</w:t>
      </w:r>
    </w:p>
    <w:p>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（二）项目支出情况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1、项目资金收支情况分析</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2024年年初市财政共安排专项资金50万，其中：可再生能源、绿色建筑产业发展配套资金50万元，主要用于可再生能源、绿色建筑产业发展配套资金等方面。</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2、专项资金实际使用情况分析</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2024年共支出专项资金101.25万，主要是可再生能源、绿色建筑产业发展配套资金</w:t>
      </w:r>
      <w:r>
        <w:rPr>
          <w:rFonts w:hint="eastAsia" w:ascii="仿宋_GB2312" w:hAnsi="仿宋_GB2312" w:eastAsia="仿宋_GB2312" w:cs="仿宋_GB2312"/>
          <w:color w:val="000000"/>
          <w:kern w:val="0"/>
          <w:sz w:val="36"/>
          <w:szCs w:val="36"/>
          <w:lang w:val="en-US" w:eastAsia="zh-CN" w:bidi="ar"/>
        </w:rPr>
        <w:t>41.25</w:t>
      </w:r>
      <w:r>
        <w:rPr>
          <w:rFonts w:hint="eastAsia" w:ascii="仿宋_GB2312" w:hAnsi="仿宋_GB2312" w:eastAsia="仿宋_GB2312" w:cs="仿宋_GB2312"/>
          <w:color w:val="000000"/>
          <w:kern w:val="0"/>
          <w:sz w:val="32"/>
          <w:szCs w:val="32"/>
          <w:lang w:val="en-US" w:eastAsia="zh-CN" w:bidi="ar"/>
        </w:rPr>
        <w:t>万元等，严格落实“过紧日子”压缩一般性支出的要求，部分专项经费进行了部分压缩和指标冻结造成项目经费未执行完毕。</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lang w:val="en-US" w:eastAsia="zh-CN" w:bidi="ar"/>
        </w:rPr>
        <w:t>3、专项资金管理情况分析</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kern w:val="0"/>
          <w:sz w:val="32"/>
          <w:szCs w:val="32"/>
          <w:lang w:val="en-US" w:eastAsia="zh-CN" w:bidi="ar"/>
        </w:rPr>
        <w:t>专项资金实行综合预算，量入为出，专款专用，确保工作顺利开展。制定专项资金管理办法，规范专项资金使用；严格政府采购程序，做到按章办事，规范操作。</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我中心无政府性基金预算支出</w:t>
      </w:r>
    </w:p>
    <w:p>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我中心无国有资本经营预算支出</w:t>
      </w:r>
    </w:p>
    <w:p>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我中心无社会保险基金预算支出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4"/>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000000"/>
          <w:kern w:val="0"/>
          <w:sz w:val="32"/>
          <w:szCs w:val="32"/>
          <w:lang w:val="en-US" w:eastAsia="zh-CN" w:bidi="ar-SA"/>
        </w:rPr>
        <w:t>2024年，我</w:t>
      </w:r>
      <w:r>
        <w:rPr>
          <w:rFonts w:hint="eastAsia" w:ascii="仿宋" w:hAnsi="仿宋" w:eastAsia="仿宋" w:cs="仿宋"/>
          <w:spacing w:val="14"/>
          <w:sz w:val="32"/>
          <w:szCs w:val="32"/>
          <w:lang w:val="en-US" w:eastAsia="zh-CN"/>
        </w:rPr>
        <w:t>中心</w:t>
      </w:r>
      <w:r>
        <w:rPr>
          <w:rFonts w:hint="eastAsia" w:ascii="Times New Roman" w:hAnsi="Times New Roman" w:eastAsia="仿宋_GB2312" w:cs="Times New Roman"/>
          <w:color w:val="000000"/>
          <w:kern w:val="0"/>
          <w:sz w:val="32"/>
          <w:szCs w:val="32"/>
          <w:lang w:val="en-US" w:eastAsia="zh-CN" w:bidi="ar-SA"/>
        </w:rPr>
        <w:t>在市委市政府的坚强领导下，以习近平新时代中国特色社会主义思想为指导，紧扣落实省政府真抓实干督查激励措施，践行为民服务宗旨，全面履职尽责，守正创新，真抓实干，较好的完成了各项绩效目标。预算控制率97.54%，财政供养人员控制在预算编制以内。预算执行方面：根据“总量控制、计划管理”的要求从严控制行政经费，压缩公务费开支，严格控制“三公”经费，支出总额控制在预算总额以内。预算管理方面：切实有效地执行了各项财务管理制度、车辆、资产内部管理制度，资产配置严格政府采购，按照预算科目规定使用财政资金，保障资金支出的规范化、制度化，项目资金坚持按专项资金管理制度有效执行，确保专款专用；履职效能方面：</w:t>
      </w:r>
      <w:r>
        <w:rPr>
          <w:rFonts w:hint="eastAsia" w:ascii="仿宋" w:hAnsi="仿宋" w:eastAsia="仿宋" w:cs="仿宋"/>
          <w:spacing w:val="13"/>
          <w:sz w:val="32"/>
          <w:szCs w:val="32"/>
          <w:lang w:eastAsia="zh-CN"/>
        </w:rPr>
        <w:t>一是</w:t>
      </w:r>
      <w:r>
        <w:rPr>
          <w:rFonts w:hint="eastAsia" w:ascii="仿宋" w:hAnsi="仿宋" w:eastAsia="仿宋" w:cs="仿宋"/>
          <w:b w:val="0"/>
          <w:bCs/>
          <w:sz w:val="32"/>
          <w:szCs w:val="32"/>
          <w:lang w:val="en-US" w:eastAsia="zh-CN"/>
        </w:rPr>
        <w:t>大力开展普法宣传，</w:t>
      </w:r>
      <w:r>
        <w:rPr>
          <w:rFonts w:hint="eastAsia" w:ascii="仿宋" w:hAnsi="仿宋" w:eastAsia="仿宋" w:cs="仿宋"/>
          <w:sz w:val="32"/>
          <w:szCs w:val="32"/>
        </w:rPr>
        <w:t>贯彻“谁执法谁普法”工作责任制</w:t>
      </w:r>
      <w:r>
        <w:rPr>
          <w:rFonts w:hint="eastAsia" w:ascii="仿宋" w:hAnsi="仿宋" w:eastAsia="仿宋" w:cs="仿宋"/>
          <w:i w:val="0"/>
          <w:iCs w:val="0"/>
          <w:caps w:val="0"/>
          <w:color w:val="3B3B3B"/>
          <w:spacing w:val="0"/>
          <w:sz w:val="32"/>
          <w:szCs w:val="32"/>
          <w:shd w:val="clear" w:color="auto" w:fill="FFFFFF"/>
        </w:rPr>
        <w:t>，</w:t>
      </w:r>
      <w:r>
        <w:rPr>
          <w:rFonts w:hint="eastAsia" w:ascii="仿宋" w:hAnsi="仿宋" w:eastAsia="仿宋" w:cs="仿宋"/>
          <w:sz w:val="32"/>
          <w:szCs w:val="32"/>
        </w:rPr>
        <w:t>推动</w:t>
      </w:r>
      <w:r>
        <w:rPr>
          <w:rFonts w:hint="eastAsia" w:ascii="仿宋" w:hAnsi="仿宋" w:eastAsia="仿宋" w:cs="仿宋"/>
          <w:sz w:val="32"/>
          <w:szCs w:val="32"/>
          <w:lang w:val="en-US" w:eastAsia="zh-CN"/>
        </w:rPr>
        <w:t>我市散墙系统法治</w:t>
      </w:r>
      <w:r>
        <w:rPr>
          <w:rFonts w:hint="eastAsia" w:ascii="仿宋" w:hAnsi="仿宋" w:eastAsia="仿宋" w:cs="仿宋"/>
          <w:sz w:val="32"/>
          <w:szCs w:val="32"/>
        </w:rPr>
        <w:t>建设，按照省工信厅工作要求</w:t>
      </w:r>
      <w:r>
        <w:rPr>
          <w:rFonts w:hint="eastAsia" w:ascii="仿宋" w:hAnsi="仿宋" w:eastAsia="仿宋" w:cs="仿宋"/>
          <w:sz w:val="32"/>
          <w:szCs w:val="32"/>
          <w:lang w:val="en-US" w:eastAsia="zh-CN"/>
        </w:rPr>
        <w:t>和</w:t>
      </w:r>
      <w:r>
        <w:rPr>
          <w:rFonts w:hint="eastAsia" w:ascii="仿宋" w:hAnsi="仿宋" w:eastAsia="仿宋" w:cs="仿宋"/>
          <w:sz w:val="32"/>
          <w:szCs w:val="32"/>
        </w:rPr>
        <w:t>省散墙办</w:t>
      </w:r>
      <w:r>
        <w:rPr>
          <w:rFonts w:hint="eastAsia" w:ascii="仿宋" w:hAnsi="仿宋" w:eastAsia="仿宋" w:cs="仿宋"/>
          <w:sz w:val="32"/>
          <w:szCs w:val="32"/>
          <w:lang w:val="en-US" w:eastAsia="zh-CN"/>
        </w:rPr>
        <w:t>的统一</w:t>
      </w:r>
      <w:r>
        <w:rPr>
          <w:rFonts w:hint="eastAsia" w:ascii="仿宋" w:hAnsi="仿宋" w:eastAsia="仿宋" w:cs="仿宋"/>
          <w:sz w:val="32"/>
          <w:szCs w:val="32"/>
        </w:rPr>
        <w:t>安排部署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围绕主职主责，</w:t>
      </w:r>
      <w:r>
        <w:rPr>
          <w:rFonts w:hint="eastAsia" w:ascii="仿宋" w:hAnsi="仿宋" w:eastAsia="仿宋" w:cs="仿宋"/>
          <w:sz w:val="32"/>
          <w:szCs w:val="32"/>
        </w:rPr>
        <w:t>在全</w:t>
      </w:r>
      <w:r>
        <w:rPr>
          <w:rFonts w:hint="eastAsia" w:ascii="仿宋" w:hAnsi="仿宋" w:eastAsia="仿宋" w:cs="仿宋"/>
          <w:sz w:val="32"/>
          <w:szCs w:val="32"/>
          <w:lang w:val="en-US" w:eastAsia="zh-CN"/>
        </w:rPr>
        <w:t>市</w:t>
      </w:r>
      <w:r>
        <w:rPr>
          <w:rFonts w:hint="eastAsia" w:ascii="仿宋" w:hAnsi="仿宋" w:eastAsia="仿宋" w:cs="仿宋"/>
          <w:sz w:val="32"/>
          <w:szCs w:val="32"/>
        </w:rPr>
        <w:t>范围内</w:t>
      </w:r>
      <w:r>
        <w:rPr>
          <w:rFonts w:hint="eastAsia" w:ascii="仿宋" w:hAnsi="仿宋" w:eastAsia="仿宋" w:cs="仿宋"/>
          <w:sz w:val="32"/>
          <w:szCs w:val="32"/>
          <w:lang w:val="en-US" w:eastAsia="zh-CN"/>
        </w:rPr>
        <w:t>深入</w:t>
      </w:r>
      <w:r>
        <w:rPr>
          <w:rFonts w:hint="eastAsia" w:ascii="仿宋" w:hAnsi="仿宋" w:eastAsia="仿宋" w:cs="仿宋"/>
          <w:sz w:val="32"/>
          <w:szCs w:val="32"/>
        </w:rPr>
        <w:t>开展《湖南省新型墙体材料推广应用条例》、《湖南省散装水泥条例》</w:t>
      </w:r>
      <w:r>
        <w:rPr>
          <w:rFonts w:hint="eastAsia" w:ascii="仿宋" w:hAnsi="仿宋" w:eastAsia="仿宋" w:cs="仿宋"/>
          <w:sz w:val="32"/>
          <w:szCs w:val="32"/>
          <w:lang w:val="en-US" w:eastAsia="zh-CN"/>
        </w:rPr>
        <w:t>202</w:t>
      </w:r>
      <w:r>
        <w:rPr>
          <w:rFonts w:hint="eastAsia" w:eastAsia="仿宋" w:cs="仿宋"/>
          <w:sz w:val="32"/>
          <w:szCs w:val="32"/>
          <w:lang w:val="en-US" w:eastAsia="zh-CN"/>
        </w:rPr>
        <w:t>4</w:t>
      </w:r>
      <w:r>
        <w:rPr>
          <w:rFonts w:hint="eastAsia" w:ascii="仿宋" w:hAnsi="仿宋" w:eastAsia="仿宋" w:cs="仿宋"/>
          <w:sz w:val="32"/>
          <w:szCs w:val="32"/>
          <w:lang w:val="en-US" w:eastAsia="zh-CN"/>
        </w:rPr>
        <w:t>年</w:t>
      </w:r>
      <w:r>
        <w:rPr>
          <w:rFonts w:hint="eastAsia" w:ascii="仿宋" w:hAnsi="仿宋" w:eastAsia="仿宋" w:cs="仿宋"/>
          <w:sz w:val="32"/>
          <w:szCs w:val="32"/>
        </w:rPr>
        <w:t>普法宣传工作</w:t>
      </w:r>
      <w:r>
        <w:rPr>
          <w:rFonts w:hint="eastAsia" w:ascii="仿宋" w:hAnsi="仿宋" w:eastAsia="仿宋" w:cs="仿宋"/>
          <w:sz w:val="32"/>
          <w:szCs w:val="32"/>
          <w:lang w:eastAsia="zh-CN"/>
        </w:rPr>
        <w:t>，</w:t>
      </w:r>
      <w:r>
        <w:rPr>
          <w:rFonts w:hint="eastAsia" w:ascii="仿宋" w:hAnsi="仿宋" w:eastAsia="仿宋" w:cs="仿宋"/>
          <w:i w:val="0"/>
          <w:iCs w:val="0"/>
          <w:caps w:val="0"/>
          <w:color w:val="333333"/>
          <w:spacing w:val="0"/>
          <w:kern w:val="0"/>
          <w:sz w:val="32"/>
          <w:szCs w:val="32"/>
          <w:shd w:val="clear" w:color="auto" w:fill="FFFFFF"/>
          <w:lang w:val="en-US" w:eastAsia="zh-CN" w:bidi="ar"/>
        </w:rPr>
        <w:t>深入企业、工地，采取点对点”、“面对面”的方式，并利用日常执法、专业培训等时机，向企业和建设工地发送法律事务宣传手册，</w:t>
      </w:r>
      <w:r>
        <w:rPr>
          <w:rFonts w:hint="eastAsia" w:ascii="仿宋" w:hAnsi="仿宋" w:eastAsia="仿宋" w:cs="仿宋"/>
          <w:sz w:val="32"/>
          <w:szCs w:val="32"/>
          <w:lang w:val="en-US" w:eastAsia="zh-CN"/>
        </w:rPr>
        <w:t>大力宣传发展新型墙体材料和散装水泥节约资源、保护环境、保证施工质量、提升施工水平、促进绿色建筑发展的重大意义</w:t>
      </w:r>
      <w:r>
        <w:rPr>
          <w:rFonts w:hint="eastAsia" w:ascii="仿宋" w:hAnsi="仿宋" w:eastAsia="仿宋" w:cs="仿宋"/>
          <w:i w:val="0"/>
          <w:iCs w:val="0"/>
          <w:caps w:val="0"/>
          <w:color w:val="auto"/>
          <w:spacing w:val="0"/>
          <w:kern w:val="0"/>
          <w:sz w:val="32"/>
          <w:szCs w:val="32"/>
          <w:shd w:val="clear" w:color="auto" w:fill="FFFFFF"/>
          <w:lang w:val="en-US" w:eastAsia="zh-CN" w:bidi="ar"/>
        </w:rPr>
        <w:t>。</w:t>
      </w:r>
      <w:r>
        <w:rPr>
          <w:rStyle w:val="12"/>
          <w:rFonts w:hint="eastAsia" w:ascii="仿宋_GB2312" w:hAnsi="仿宋_GB2312" w:eastAsia="仿宋_GB2312" w:cs="仿宋_GB2312"/>
          <w:b w:val="0"/>
          <w:bCs/>
          <w:color w:val="auto"/>
          <w:sz w:val="32"/>
          <w:szCs w:val="32"/>
          <w:lang w:val="en-US" w:eastAsia="zh-CN"/>
        </w:rPr>
        <w:t>二是</w:t>
      </w:r>
      <w:r>
        <w:rPr>
          <w:rStyle w:val="12"/>
          <w:rFonts w:hint="eastAsia" w:ascii="仿宋_GB2312" w:hAnsi="仿宋_GB2312" w:eastAsia="仿宋_GB2312" w:cs="仿宋_GB2312"/>
          <w:b w:val="0"/>
          <w:bCs/>
          <w:color w:val="auto"/>
          <w:sz w:val="32"/>
          <w:szCs w:val="32"/>
        </w:rPr>
        <w:t>大力</w:t>
      </w:r>
      <w:r>
        <w:rPr>
          <w:rStyle w:val="12"/>
          <w:rFonts w:hint="eastAsia" w:ascii="仿宋_GB2312" w:hAnsi="仿宋_GB2312" w:eastAsia="仿宋_GB2312" w:cs="仿宋_GB2312"/>
          <w:b w:val="0"/>
          <w:bCs/>
          <w:color w:val="auto"/>
          <w:sz w:val="32"/>
          <w:szCs w:val="32"/>
          <w:lang w:val="en-US" w:eastAsia="zh-CN"/>
        </w:rPr>
        <w:t>提升行业发展</w:t>
      </w:r>
      <w:r>
        <w:rPr>
          <w:rFonts w:hint="eastAsia" w:ascii="仿宋_GB2312" w:hAnsi="仿宋_GB2312" w:eastAsia="仿宋_GB2312" w:cs="仿宋_GB2312"/>
          <w:sz w:val="32"/>
          <w:szCs w:val="32"/>
          <w:lang w:val="en-US" w:eastAsia="zh-CN"/>
        </w:rPr>
        <w:t>。</w:t>
      </w:r>
      <w:r>
        <w:rPr>
          <w:rFonts w:hint="eastAsia" w:ascii="仿宋_GB2312" w:eastAsia="仿宋_GB2312"/>
          <w:b w:val="0"/>
          <w:bCs w:val="0"/>
          <w:color w:val="auto"/>
          <w:sz w:val="32"/>
          <w:szCs w:val="32"/>
        </w:rPr>
        <w:t>三是</w:t>
      </w:r>
      <w:r>
        <w:rPr>
          <w:rFonts w:hint="eastAsia" w:ascii="仿宋_GB2312" w:eastAsia="仿宋_GB2312"/>
          <w:b w:val="0"/>
          <w:bCs w:val="0"/>
          <w:color w:val="auto"/>
          <w:sz w:val="32"/>
          <w:szCs w:val="32"/>
          <w:lang w:val="en-US" w:eastAsia="zh-CN"/>
        </w:rPr>
        <w:t>大力</w:t>
      </w:r>
      <w:r>
        <w:rPr>
          <w:rStyle w:val="12"/>
          <w:rFonts w:hint="eastAsia" w:ascii="仿宋_GB2312" w:hAnsi="仿宋_GB2312" w:eastAsia="仿宋_GB2312" w:cs="仿宋_GB2312"/>
          <w:b w:val="0"/>
          <w:bCs w:val="0"/>
          <w:color w:val="auto"/>
          <w:sz w:val="32"/>
          <w:szCs w:val="32"/>
          <w:lang w:val="en-US" w:eastAsia="zh-CN"/>
        </w:rPr>
        <w:t>培植</w:t>
      </w:r>
      <w:r>
        <w:rPr>
          <w:rStyle w:val="12"/>
          <w:rFonts w:hint="eastAsia" w:ascii="仿宋_GB2312" w:hAnsi="仿宋_GB2312" w:eastAsia="仿宋_GB2312" w:cs="仿宋_GB2312"/>
          <w:b w:val="0"/>
          <w:bCs w:val="0"/>
          <w:color w:val="auto"/>
          <w:sz w:val="32"/>
          <w:szCs w:val="32"/>
        </w:rPr>
        <w:t>绿色建材</w:t>
      </w:r>
      <w:r>
        <w:rPr>
          <w:rStyle w:val="12"/>
          <w:rFonts w:hint="eastAsia" w:ascii="仿宋_GB2312" w:hAnsi="仿宋_GB2312" w:eastAsia="仿宋_GB2312" w:cs="仿宋_GB2312"/>
          <w:b w:val="0"/>
          <w:bCs w:val="0"/>
          <w:color w:val="auto"/>
          <w:sz w:val="32"/>
          <w:szCs w:val="32"/>
          <w:lang w:eastAsia="zh-CN"/>
        </w:rPr>
        <w:t>。</w:t>
      </w:r>
      <w:r>
        <w:rPr>
          <w:rFonts w:hint="eastAsia" w:ascii="仿宋_GB2312" w:eastAsia="仿宋_GB2312"/>
          <w:color w:val="auto"/>
          <w:sz w:val="32"/>
          <w:szCs w:val="32"/>
        </w:rPr>
        <w:t>围绕装配式建筑、绿色建筑、建筑节能产业链，积极培育绿色建材，</w:t>
      </w:r>
      <w:r>
        <w:rPr>
          <w:rFonts w:hint="eastAsia" w:ascii="仿宋_GB2312" w:eastAsia="仿宋_GB2312"/>
          <w:color w:val="auto"/>
          <w:sz w:val="32"/>
          <w:szCs w:val="32"/>
          <w:lang w:val="en-US" w:eastAsia="zh-CN"/>
        </w:rPr>
        <w:t>指导</w:t>
      </w:r>
      <w:r>
        <w:rPr>
          <w:rFonts w:hint="eastAsia" w:ascii="仿宋_GB2312" w:eastAsia="仿宋_GB2312"/>
          <w:color w:val="auto"/>
          <w:sz w:val="32"/>
          <w:szCs w:val="32"/>
        </w:rPr>
        <w:t>企业申报绿色建材</w:t>
      </w:r>
      <w:r>
        <w:rPr>
          <w:rFonts w:hint="eastAsia" w:ascii="仿宋_GB2312" w:eastAsia="仿宋_GB2312"/>
          <w:color w:val="auto"/>
          <w:sz w:val="32"/>
          <w:szCs w:val="32"/>
          <w:lang w:val="en-US" w:eastAsia="zh-CN"/>
        </w:rPr>
        <w:t>产品认证</w:t>
      </w:r>
      <w:r>
        <w:rPr>
          <w:rFonts w:hint="eastAsia" w:ascii="Times New Roman" w:hAnsi="Times New Roman" w:eastAsia="仿宋_GB2312" w:cs="Times New Roman"/>
          <w:color w:val="000000"/>
          <w:kern w:val="0"/>
          <w:sz w:val="32"/>
          <w:szCs w:val="32"/>
          <w:lang w:val="en-US" w:eastAsia="zh-CN" w:bidi="ar-SA"/>
        </w:rPr>
        <w:t>，四是坚持问题导向，全面加强自身建设，群众满意度达到95%以上</w:t>
      </w:r>
      <w:r>
        <w:rPr>
          <w:rFonts w:hint="eastAsia" w:ascii="仿宋_GB2312" w:eastAsia="仿宋_GB2312" w:cs="仿宋_GB2312"/>
          <w:b w:val="0"/>
          <w:bCs w:val="0"/>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620" w:firstLineChars="200"/>
        <w:textAlignment w:val="baseline"/>
        <w:outlineLvl w:val="0"/>
        <w:rPr>
          <w:rFonts w:hint="eastAsia" w:ascii="仿宋" w:hAnsi="仿宋" w:eastAsia="仿宋" w:cs="仿宋"/>
          <w:b/>
          <w:bCs/>
          <w:spacing w:val="-5"/>
          <w:sz w:val="32"/>
          <w:szCs w:val="32"/>
          <w:lang w:val="en-US" w:eastAsia="zh-CN"/>
        </w:rPr>
      </w:pPr>
      <w:r>
        <w:rPr>
          <w:rFonts w:hint="eastAsia" w:ascii="仿宋" w:hAnsi="仿宋" w:eastAsia="仿宋" w:cs="仿宋"/>
          <w:b w:val="0"/>
          <w:bCs w:val="0"/>
          <w:spacing w:val="-5"/>
          <w:sz w:val="32"/>
          <w:szCs w:val="32"/>
          <w:lang w:val="en-US" w:eastAsia="zh-CN"/>
        </w:rPr>
        <w:t>预算编制还不够精细化，在执行和管理过程中也存在一些问题，预算编制和支出有的存在部分差异，针对不足，我单位将积极采取改进措施，不断规范和强化管理。</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0" w:firstLineChars="0"/>
        <w:jc w:val="both"/>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 xml:space="preserve">     </w:t>
      </w:r>
      <w:r>
        <w:rPr>
          <w:rFonts w:hint="eastAsia" w:ascii="仿宋_GB2312" w:eastAsia="仿宋_GB2312" w:cs="仿宋_GB2312"/>
          <w:b w:val="0"/>
          <w:bCs w:val="0"/>
          <w:sz w:val="32"/>
          <w:szCs w:val="32"/>
          <w:lang w:eastAsia="zh-CN"/>
        </w:rPr>
        <w:t>加强财政预算资金使用效益跟踪“回头”看，及时预控、查找资金使用和管理过程中的薄弱环节，确保为后续绩效目标的有效实现提供有力支撑</w:t>
      </w:r>
      <w:r>
        <w:rPr>
          <w:rFonts w:hint="eastAsia" w:ascii="仿宋" w:hAnsi="仿宋" w:eastAsia="仿宋" w:cs="仿宋"/>
          <w:b w:val="0"/>
          <w:bCs w:val="0"/>
          <w:spacing w:val="-5"/>
          <w:sz w:val="32"/>
          <w:szCs w:val="32"/>
          <w:lang w:val="en-US"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firstLine="0" w:firstLineChars="0"/>
        <w:jc w:val="left"/>
        <w:textAlignment w:val="baseline"/>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val="en-US" w:eastAsia="zh-CN"/>
        </w:rPr>
        <w:t xml:space="preserve">  </w:t>
      </w:r>
      <w:r>
        <w:rPr>
          <w:rFonts w:hint="eastAsia" w:ascii="仿宋_GB2312" w:hAnsi="Times New Roman" w:eastAsia="仿宋_GB2312" w:cs="仿宋_GB2312"/>
          <w:sz w:val="32"/>
          <w:szCs w:val="32"/>
          <w:highlight w:val="none"/>
          <w:lang w:val="en-US" w:eastAsia="zh-CN"/>
        </w:rPr>
        <w:t xml:space="preserve"> </w:t>
      </w:r>
      <w:r>
        <w:rPr>
          <w:rFonts w:hint="eastAsia" w:ascii="仿宋_GB2312" w:hAnsi="Times New Roman" w:eastAsia="仿宋_GB2312" w:cs="仿宋_GB2312"/>
          <w:b w:val="0"/>
          <w:bCs w:val="0"/>
          <w:sz w:val="32"/>
          <w:szCs w:val="32"/>
          <w:highlight w:val="none"/>
          <w:lang w:val="en-US" w:eastAsia="zh-CN"/>
        </w:rPr>
        <w:t xml:space="preserve"> 我单位按照要求及时主动将相关资料公开</w:t>
      </w:r>
    </w:p>
    <w:p>
      <w:pPr>
        <w:spacing w:line="20" w:lineRule="exact"/>
        <w:ind w:firstLine="0"/>
        <w:jc w:val="left"/>
        <w:rPr>
          <w:rFonts w:ascii="仿宋_GB2312" w:eastAsia="仿宋_GB2312"/>
          <w:sz w:val="32"/>
          <w:szCs w:val="32"/>
        </w:rPr>
      </w:pPr>
    </w:p>
    <w:p/>
    <w:sectPr>
      <w:footerReference r:id="rId3" w:type="default"/>
      <w:footerReference r:id="rId4" w:type="even"/>
      <w:pgSz w:w="11906" w:h="16838"/>
      <w:pgMar w:top="1587" w:right="1588" w:bottom="1587"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szCs w:val="24"/>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3DF53"/>
    <w:multiLevelType w:val="singleLevel"/>
    <w:tmpl w:val="99E3DF53"/>
    <w:lvl w:ilvl="0" w:tentative="0">
      <w:start w:val="8"/>
      <w:numFmt w:val="chineseCounting"/>
      <w:suff w:val="nothing"/>
      <w:lvlText w:val="%1、"/>
      <w:lvlJc w:val="left"/>
      <w:rPr>
        <w:rFonts w:hint="eastAsia"/>
      </w:rPr>
    </w:lvl>
  </w:abstractNum>
  <w:abstractNum w:abstractNumId="1">
    <w:nsid w:val="2AC0D0AD"/>
    <w:multiLevelType w:val="singleLevel"/>
    <w:tmpl w:val="2AC0D0AD"/>
    <w:lvl w:ilvl="0" w:tentative="0">
      <w:start w:val="1"/>
      <w:numFmt w:val="chineseCounting"/>
      <w:suff w:val="nothing"/>
      <w:lvlText w:val="%1、"/>
      <w:lvlJc w:val="left"/>
      <w:rPr>
        <w:rFonts w:hint="eastAsia"/>
      </w:rPr>
    </w:lvl>
  </w:abstractNum>
  <w:abstractNum w:abstractNumId="2">
    <w:nsid w:val="5316E77A"/>
    <w:multiLevelType w:val="singleLevel"/>
    <w:tmpl w:val="5316E77A"/>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2VhYTYxNDQ4ZTRjMmI4MGM3MmJiY2M5Mjk0M2YifQ=="/>
    <w:docVar w:name="KSO_WPS_MARK_KEY" w:val="57ef9c1f-5ff5-47af-bab4-7bab503ecf83"/>
  </w:docVars>
  <w:rsids>
    <w:rsidRoot w:val="30220DEE"/>
    <w:rsid w:val="08607386"/>
    <w:rsid w:val="0AF344E1"/>
    <w:rsid w:val="0F6615EB"/>
    <w:rsid w:val="112C7F51"/>
    <w:rsid w:val="21352D06"/>
    <w:rsid w:val="224D64B8"/>
    <w:rsid w:val="23922691"/>
    <w:rsid w:val="246D6C5B"/>
    <w:rsid w:val="25DF3366"/>
    <w:rsid w:val="28D451FA"/>
    <w:rsid w:val="29422464"/>
    <w:rsid w:val="2CC87124"/>
    <w:rsid w:val="30220DEE"/>
    <w:rsid w:val="4521341D"/>
    <w:rsid w:val="513205A1"/>
    <w:rsid w:val="59632C08"/>
    <w:rsid w:val="5B1C7DC6"/>
    <w:rsid w:val="5FAE3864"/>
    <w:rsid w:val="6647254B"/>
    <w:rsid w:val="705F5BDA"/>
    <w:rsid w:val="707A21E8"/>
    <w:rsid w:val="71ED0060"/>
    <w:rsid w:val="78667455"/>
    <w:rsid w:val="7B7F61CD"/>
    <w:rsid w:val="7DB36F70"/>
    <w:rsid w:val="7F89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link w:val="9"/>
    <w:unhideWhenUsed/>
    <w:qFormat/>
    <w:uiPriority w:val="0"/>
    <w:pPr>
      <w:ind w:firstLine="420" w:firstLineChars="200"/>
    </w:pPr>
    <w:rPr>
      <w:rFonts w:hint="default"/>
      <w:sz w:val="21"/>
      <w:szCs w:val="24"/>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eastAsia" w:ascii="仿宋" w:hAnsi="仿宋" w:eastAsia="宋体" w:cs="Times New Roman"/>
      <w:kern w:val="0"/>
      <w:sz w:val="24"/>
      <w:szCs w:val="24"/>
      <w:lang w:val="en-US" w:eastAsia="zh-CN" w:bidi="ar"/>
    </w:rPr>
  </w:style>
  <w:style w:type="character" w:styleId="7">
    <w:name w:val="page number"/>
    <w:qFormat/>
    <w:uiPriority w:val="0"/>
  </w:style>
  <w:style w:type="paragraph" w:customStyle="1" w:styleId="8">
    <w:name w:val="列出段落1"/>
    <w:basedOn w:val="1"/>
    <w:qFormat/>
    <w:uiPriority w:val="34"/>
    <w:pPr>
      <w:ind w:firstLine="420" w:firstLineChars="200"/>
    </w:pPr>
  </w:style>
  <w:style w:type="character" w:customStyle="1" w:styleId="9">
    <w:name w:val="正文缩进 Char"/>
    <w:link w:val="2"/>
    <w:qFormat/>
    <w:uiPriority w:val="0"/>
    <w:rPr>
      <w:rFonts w:hint="default"/>
      <w:sz w:val="21"/>
      <w:szCs w:val="24"/>
    </w:rPr>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4731</Words>
  <Characters>5174</Characters>
  <Lines>0</Lines>
  <Paragraphs>0</Paragraphs>
  <TotalTime>13</TotalTime>
  <ScaleCrop>false</ScaleCrop>
  <LinksUpToDate>false</LinksUpToDate>
  <CharactersWithSpaces>5484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2025-05-26T09:36:00Z</dcterms:created>
  <dc:creator>李慷琪</dc:creator>
  <cp:lastModifiedBy>李慷琪</cp:lastModifiedBy>
  <dcterms:modified xsi:type="dcterms:W3CDTF">2025-06-09T03:09:30Z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30D241649B9649DEA997E345CD599A50_11</vt:lpwstr>
  </property>
</Properties>
</file>